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F" w:rsidRPr="00DA27B5" w:rsidRDefault="00031140" w:rsidP="002F4F04">
      <w:r w:rsidRPr="00DA27B5">
        <w:t>Obstetricia y Ginecología. 42 (1982) 527-529</w:t>
      </w:r>
    </w:p>
    <w:p w:rsidR="00B00BC5" w:rsidRPr="00DA27B5" w:rsidRDefault="00B00BC5"/>
    <w:p w:rsidR="00B00BC5" w:rsidRPr="00DA27B5" w:rsidRDefault="003A53AC">
      <w:pPr>
        <w:rPr>
          <w:b/>
          <w:sz w:val="32"/>
          <w:szCs w:val="32"/>
        </w:rPr>
      </w:pPr>
      <w:r w:rsidRPr="00DA27B5">
        <w:rPr>
          <w:b/>
          <w:sz w:val="32"/>
          <w:szCs w:val="32"/>
        </w:rPr>
        <w:t>Revisión</w:t>
      </w:r>
      <w:r w:rsidR="00B46B63" w:rsidRPr="00DA27B5">
        <w:rPr>
          <w:b/>
          <w:sz w:val="32"/>
          <w:szCs w:val="32"/>
        </w:rPr>
        <w:t xml:space="preserve"> urodinámica de la terapia neural </w:t>
      </w:r>
      <w:r w:rsidR="00D7664E" w:rsidRPr="00DA27B5">
        <w:rPr>
          <w:b/>
          <w:sz w:val="32"/>
          <w:szCs w:val="32"/>
        </w:rPr>
        <w:t xml:space="preserve">en la vejiga irritable motora y </w:t>
      </w:r>
      <w:r w:rsidR="00FA44C8" w:rsidRPr="00DA27B5">
        <w:rPr>
          <w:b/>
          <w:sz w:val="32"/>
          <w:szCs w:val="32"/>
        </w:rPr>
        <w:t>sensitiva</w:t>
      </w:r>
    </w:p>
    <w:p w:rsidR="00D7664E" w:rsidRPr="00DA27B5" w:rsidRDefault="00D7664E">
      <w:pPr>
        <w:rPr>
          <w:b/>
        </w:rPr>
      </w:pPr>
    </w:p>
    <w:p w:rsidR="00D7664E" w:rsidRPr="00DA27B5" w:rsidRDefault="00D7664E">
      <w:r w:rsidRPr="00DA27B5">
        <w:t>R. Spernol, P. Riss</w:t>
      </w:r>
    </w:p>
    <w:p w:rsidR="00D7664E" w:rsidRPr="00DA27B5" w:rsidRDefault="00D7664E">
      <w:r w:rsidRPr="00DA27B5">
        <w:t xml:space="preserve">2. Clínica </w:t>
      </w:r>
      <w:r w:rsidR="00EA5C7B" w:rsidRPr="00DA27B5">
        <w:t xml:space="preserve">Universitaria de </w:t>
      </w:r>
      <w:r w:rsidR="002164A8" w:rsidRPr="00DA27B5">
        <w:t>Ginecología</w:t>
      </w:r>
      <w:r w:rsidR="00A34BB9" w:rsidRPr="00DA27B5">
        <w:t>,</w:t>
      </w:r>
      <w:r w:rsidR="00367FEC" w:rsidRPr="00DA27B5">
        <w:t xml:space="preserve"> </w:t>
      </w:r>
      <w:r w:rsidRPr="00DA27B5">
        <w:t>Viena (</w:t>
      </w:r>
      <w:r w:rsidR="00EA5C7B" w:rsidRPr="00DA27B5">
        <w:t>Dirección</w:t>
      </w:r>
      <w:r w:rsidRPr="00DA27B5">
        <w:t>: Prof. Dr. H. Janisch)</w:t>
      </w:r>
    </w:p>
    <w:p w:rsidR="00424DF5" w:rsidRPr="00DA27B5" w:rsidRDefault="00424DF5"/>
    <w:tbl>
      <w:tblPr>
        <w:tblStyle w:val="Tablaconcuadrcula"/>
        <w:tblW w:w="0" w:type="auto"/>
        <w:tblLook w:val="04A0"/>
      </w:tblPr>
      <w:tblGrid>
        <w:gridCol w:w="11196"/>
      </w:tblGrid>
      <w:tr w:rsidR="00424DF5" w:rsidRPr="00DA27B5" w:rsidTr="001F3C10">
        <w:tc>
          <w:tcPr>
            <w:tcW w:w="11196" w:type="dxa"/>
          </w:tcPr>
          <w:p w:rsidR="00424DF5" w:rsidRPr="00DA27B5" w:rsidRDefault="00424DF5">
            <w:pPr>
              <w:rPr>
                <w:sz w:val="26"/>
                <w:szCs w:val="26"/>
              </w:rPr>
            </w:pPr>
            <w:r w:rsidRPr="00DA27B5">
              <w:rPr>
                <w:b/>
                <w:sz w:val="26"/>
                <w:szCs w:val="26"/>
              </w:rPr>
              <w:t>Resume</w:t>
            </w:r>
            <w:r w:rsidR="00367FEC" w:rsidRPr="00DA27B5">
              <w:rPr>
                <w:b/>
                <w:sz w:val="26"/>
                <w:szCs w:val="26"/>
              </w:rPr>
              <w:t>n</w:t>
            </w:r>
          </w:p>
          <w:p w:rsidR="00424DF5" w:rsidRPr="00DA27B5" w:rsidRDefault="00424DF5" w:rsidP="00F54BA4">
            <w:pPr>
              <w:rPr>
                <w:rFonts w:cs="Arial"/>
              </w:rPr>
            </w:pPr>
            <w:r w:rsidRPr="00DA27B5">
              <w:t xml:space="preserve">Tratamos </w:t>
            </w:r>
            <w:r w:rsidR="00B308C5" w:rsidRPr="00DA27B5">
              <w:t xml:space="preserve">mediante inyecciones parauretrales de un anestésico local </w:t>
            </w:r>
            <w:r w:rsidRPr="00DA27B5">
              <w:t xml:space="preserve">a 10 </w:t>
            </w:r>
            <w:r w:rsidR="0013247D" w:rsidRPr="00DA27B5">
              <w:t>pacientes</w:t>
            </w:r>
            <w:r w:rsidRPr="00DA27B5">
              <w:t xml:space="preserve"> </w:t>
            </w:r>
            <w:r w:rsidR="00167958" w:rsidRPr="00DA27B5">
              <w:t xml:space="preserve">diagnosticadas </w:t>
            </w:r>
            <w:r w:rsidR="00E600CC" w:rsidRPr="00DA27B5">
              <w:t>por anamnesis y urodinamia de vejiga irritable motora o sensitiva</w:t>
            </w:r>
            <w:r w:rsidR="003B651F" w:rsidRPr="00DA27B5">
              <w:t xml:space="preserve">. </w:t>
            </w:r>
            <w:r w:rsidR="008133B5" w:rsidRPr="00DA27B5">
              <w:t xml:space="preserve">Tras </w:t>
            </w:r>
            <w:r w:rsidR="006B73C2" w:rsidRPr="00DA27B5">
              <w:t>la exploración</w:t>
            </w:r>
            <w:r w:rsidR="00B8556F" w:rsidRPr="00DA27B5">
              <w:t xml:space="preserve"> </w:t>
            </w:r>
            <w:r w:rsidR="008133B5" w:rsidRPr="00DA27B5">
              <w:t>c</w:t>
            </w:r>
            <w:r w:rsidR="006B73C2" w:rsidRPr="00DA27B5">
              <w:t>línica y urodinámica</w:t>
            </w:r>
            <w:r w:rsidR="008133B5" w:rsidRPr="00DA27B5">
              <w:t xml:space="preserve"> </w:t>
            </w:r>
            <w:r w:rsidR="004D7976" w:rsidRPr="00DA27B5">
              <w:t>aplicamos</w:t>
            </w:r>
            <w:r w:rsidR="004D7976" w:rsidRPr="00DA27B5">
              <w:rPr>
                <w:rFonts w:cs="Arial"/>
              </w:rPr>
              <w:t xml:space="preserve"> </w:t>
            </w:r>
            <w:r w:rsidR="00FD283B" w:rsidRPr="00DA27B5">
              <w:rPr>
                <w:rFonts w:cs="Arial"/>
              </w:rPr>
              <w:t>en la región de transición v</w:t>
            </w:r>
            <w:r w:rsidR="00B95FAC" w:rsidRPr="00DA27B5">
              <w:rPr>
                <w:rFonts w:cs="Arial"/>
              </w:rPr>
              <w:t>é</w:t>
            </w:r>
            <w:r w:rsidR="00FD283B" w:rsidRPr="00DA27B5">
              <w:rPr>
                <w:rFonts w:cs="Arial"/>
              </w:rPr>
              <w:t>sico-uretral</w:t>
            </w:r>
            <w:r w:rsidR="00FD283B" w:rsidRPr="00DA27B5">
              <w:t xml:space="preserve"> </w:t>
            </w:r>
            <w:r w:rsidR="00FD283B" w:rsidRPr="00DA27B5">
              <w:rPr>
                <w:rFonts w:cs="Arial"/>
              </w:rPr>
              <w:t>parauretral</w:t>
            </w:r>
            <w:r w:rsidR="00690F64" w:rsidRPr="00DA27B5">
              <w:rPr>
                <w:rFonts w:cs="Arial"/>
              </w:rPr>
              <w:t>mente</w:t>
            </w:r>
            <w:r w:rsidR="00FD283B" w:rsidRPr="00DA27B5">
              <w:rPr>
                <w:rFonts w:cs="Arial"/>
              </w:rPr>
              <w:t xml:space="preserve"> a izquierda y derecha</w:t>
            </w:r>
            <w:r w:rsidR="00FD283B" w:rsidRPr="00DA27B5">
              <w:t xml:space="preserve"> </w:t>
            </w:r>
            <w:r w:rsidR="00ED7732" w:rsidRPr="00DA27B5">
              <w:t xml:space="preserve">cada vez </w:t>
            </w:r>
            <w:r w:rsidR="00FD283B" w:rsidRPr="00DA27B5">
              <w:t>2,5 ml de una solución de lidocaína</w:t>
            </w:r>
            <w:r w:rsidR="004F761F" w:rsidRPr="00DA27B5">
              <w:t xml:space="preserve"> al 1%</w:t>
            </w:r>
            <w:r w:rsidR="00FD283B" w:rsidRPr="00DA27B5">
              <w:t xml:space="preserve"> y Kollidon, para </w:t>
            </w:r>
            <w:r w:rsidR="00D56270" w:rsidRPr="00DA27B5">
              <w:t xml:space="preserve">retardar </w:t>
            </w:r>
            <w:r w:rsidR="00FD283B" w:rsidRPr="00DA27B5">
              <w:t>la reabsorción (Xyloneural</w:t>
            </w:r>
            <w:r w:rsidR="00FD283B" w:rsidRPr="00DA27B5">
              <w:rPr>
                <w:rFonts w:cs="Arial"/>
                <w:vertAlign w:val="superscript"/>
              </w:rPr>
              <w:t>®</w:t>
            </w:r>
            <w:r w:rsidR="00FD283B" w:rsidRPr="00DA27B5">
              <w:rPr>
                <w:rFonts w:cs="Arial"/>
              </w:rPr>
              <w:t xml:space="preserve">), </w:t>
            </w:r>
            <w:r w:rsidR="004D7976" w:rsidRPr="00DA27B5">
              <w:rPr>
                <w:rFonts w:cs="Arial"/>
              </w:rPr>
              <w:t>a</w:t>
            </w:r>
            <w:r w:rsidR="001E1C0A" w:rsidRPr="00DA27B5">
              <w:rPr>
                <w:rFonts w:cs="Arial"/>
              </w:rPr>
              <w:t xml:space="preserve"> </w:t>
            </w:r>
            <w:r w:rsidR="009505BF" w:rsidRPr="00DA27B5">
              <w:t>intervalos de 2 semanas y tres veces en total</w:t>
            </w:r>
            <w:r w:rsidR="00626608" w:rsidRPr="00DA27B5">
              <w:rPr>
                <w:rFonts w:cs="Arial"/>
              </w:rPr>
              <w:t xml:space="preserve">. </w:t>
            </w:r>
            <w:r w:rsidR="0073622C" w:rsidRPr="00DA27B5">
              <w:rPr>
                <w:rFonts w:cs="Arial"/>
              </w:rPr>
              <w:t xml:space="preserve">A las </w:t>
            </w:r>
            <w:r w:rsidR="00626608" w:rsidRPr="00DA27B5">
              <w:rPr>
                <w:rFonts w:cs="Arial"/>
              </w:rPr>
              <w:t xml:space="preserve">2 semanas </w:t>
            </w:r>
            <w:r w:rsidR="008F6F3F" w:rsidRPr="00DA27B5">
              <w:rPr>
                <w:rFonts w:cs="Arial"/>
              </w:rPr>
              <w:t>de</w:t>
            </w:r>
            <w:r w:rsidR="00626608" w:rsidRPr="00DA27B5">
              <w:rPr>
                <w:rFonts w:cs="Arial"/>
              </w:rPr>
              <w:t xml:space="preserve"> la última inyección realizamos una nueva </w:t>
            </w:r>
            <w:r w:rsidR="00DC41B1" w:rsidRPr="00DA27B5">
              <w:rPr>
                <w:rFonts w:cs="Arial"/>
              </w:rPr>
              <w:t>exploración</w:t>
            </w:r>
            <w:r w:rsidR="00267BB2" w:rsidRPr="00DA27B5">
              <w:rPr>
                <w:rFonts w:cs="Arial"/>
              </w:rPr>
              <w:t xml:space="preserve"> urodi</w:t>
            </w:r>
            <w:r w:rsidR="00626608" w:rsidRPr="00DA27B5">
              <w:rPr>
                <w:rFonts w:cs="Arial"/>
              </w:rPr>
              <w:t>námica.</w:t>
            </w:r>
          </w:p>
          <w:p w:rsidR="00267BB2" w:rsidRPr="00DA27B5" w:rsidRDefault="009505BF" w:rsidP="00652E60">
            <w:r w:rsidRPr="00DA27B5">
              <w:t>Los síntomas subjetivo</w:t>
            </w:r>
            <w:r w:rsidR="00267BB2" w:rsidRPr="00DA27B5">
              <w:t xml:space="preserve">s </w:t>
            </w:r>
            <w:r w:rsidRPr="00DA27B5">
              <w:t>que presentaban</w:t>
            </w:r>
            <w:r w:rsidR="00267BB2" w:rsidRPr="00DA27B5">
              <w:t xml:space="preserve"> las </w:t>
            </w:r>
            <w:r w:rsidR="00887A49" w:rsidRPr="00DA27B5">
              <w:t>pacientes</w:t>
            </w:r>
            <w:r w:rsidR="00267BB2" w:rsidRPr="00DA27B5">
              <w:t xml:space="preserve"> mejoraron </w:t>
            </w:r>
            <w:r w:rsidR="00887A49" w:rsidRPr="00DA27B5">
              <w:t>claramente</w:t>
            </w:r>
            <w:r w:rsidR="00533117" w:rsidRPr="00DA27B5">
              <w:t xml:space="preserve">: </w:t>
            </w:r>
            <w:r w:rsidR="00DB4D34" w:rsidRPr="00DA27B5">
              <w:t xml:space="preserve">respecto a la sintomatología de la vejiga irritable, </w:t>
            </w:r>
            <w:r w:rsidR="0046799C" w:rsidRPr="00DA27B5">
              <w:t>tras la 3</w:t>
            </w:r>
            <w:r w:rsidR="00DB4D34" w:rsidRPr="00DA27B5">
              <w:t>ª</w:t>
            </w:r>
            <w:r w:rsidR="0046799C" w:rsidRPr="00DA27B5">
              <w:t xml:space="preserve"> inyección 3/10 mujeres estaban asintomáticas, 6/10 </w:t>
            </w:r>
            <w:r w:rsidR="00652E60" w:rsidRPr="00DA27B5">
              <w:t xml:space="preserve">mujeres </w:t>
            </w:r>
            <w:r w:rsidR="00B22323" w:rsidRPr="00DA27B5">
              <w:t>refirieron</w:t>
            </w:r>
            <w:r w:rsidR="00BC4AAC" w:rsidRPr="00DA27B5">
              <w:t xml:space="preserve"> una </w:t>
            </w:r>
            <w:r w:rsidR="00887A49" w:rsidRPr="00DA27B5">
              <w:t>clara mejoría</w:t>
            </w:r>
            <w:r w:rsidR="00BC4AAC" w:rsidRPr="00DA27B5">
              <w:t xml:space="preserve"> </w:t>
            </w:r>
            <w:r w:rsidR="00C22336" w:rsidRPr="00DA27B5">
              <w:t xml:space="preserve">y </w:t>
            </w:r>
            <w:r w:rsidR="00652E60" w:rsidRPr="00DA27B5">
              <w:t>una mujer</w:t>
            </w:r>
            <w:r w:rsidR="00C22336" w:rsidRPr="00DA27B5">
              <w:t xml:space="preserve"> una </w:t>
            </w:r>
            <w:r w:rsidR="00BD189A" w:rsidRPr="00DA27B5">
              <w:t>leve mejoría</w:t>
            </w:r>
            <w:r w:rsidR="00C22336" w:rsidRPr="00DA27B5">
              <w:t>.</w:t>
            </w:r>
            <w:r w:rsidR="00A47B9F" w:rsidRPr="00DA27B5">
              <w:t xml:space="preserve"> </w:t>
            </w:r>
            <w:r w:rsidR="00FD1CC7" w:rsidRPr="00DA27B5">
              <w:t>Tras la terapia neural, e</w:t>
            </w:r>
            <w:r w:rsidR="00A47B9F" w:rsidRPr="00DA27B5">
              <w:t xml:space="preserve">l volumen vesical </w:t>
            </w:r>
            <w:r w:rsidR="008827D8" w:rsidRPr="00DA27B5">
              <w:t>medio</w:t>
            </w:r>
            <w:r w:rsidR="00A47B9F" w:rsidRPr="00DA27B5">
              <w:t xml:space="preserve"> </w:t>
            </w:r>
            <w:r w:rsidR="00D2661D" w:rsidRPr="00DA27B5">
              <w:t>con</w:t>
            </w:r>
            <w:r w:rsidR="008B0CCA" w:rsidRPr="00DA27B5">
              <w:t xml:space="preserve"> el primer </w:t>
            </w:r>
            <w:r w:rsidR="00CA5744" w:rsidRPr="00DA27B5">
              <w:t>deseo miccional</w:t>
            </w:r>
            <w:r w:rsidR="008B0CCA" w:rsidRPr="00DA27B5">
              <w:t xml:space="preserve"> </w:t>
            </w:r>
            <w:r w:rsidR="00D2661D" w:rsidRPr="00DA27B5">
              <w:t>fue</w:t>
            </w:r>
            <w:r w:rsidR="008B0CCA" w:rsidRPr="00DA27B5">
              <w:t xml:space="preserve"> significativamente mayor respecto al valor inicial (p = 0,02)</w:t>
            </w:r>
            <w:r w:rsidR="00074E6C" w:rsidRPr="00DA27B5">
              <w:t xml:space="preserve">; </w:t>
            </w:r>
            <w:r w:rsidR="0052680B" w:rsidRPr="00DA27B5">
              <w:t>todos los restantes parámetros urodinámicos</w:t>
            </w:r>
            <w:r w:rsidR="00FD1CC7" w:rsidRPr="00DA27B5">
              <w:t xml:space="preserve"> no mostraron ninguna variación</w:t>
            </w:r>
            <w:r w:rsidR="0052680B" w:rsidRPr="00DA27B5">
              <w:t>.</w:t>
            </w:r>
            <w:r w:rsidR="00CE0610" w:rsidRPr="00DA27B5">
              <w:t xml:space="preserve"> No se </w:t>
            </w:r>
            <w:r w:rsidR="00E525AF" w:rsidRPr="00DA27B5">
              <w:t>observó ningún</w:t>
            </w:r>
            <w:r w:rsidR="00CE0610" w:rsidRPr="00DA27B5">
              <w:t xml:space="preserve"> efecto secundario. </w:t>
            </w:r>
            <w:r w:rsidR="005F4198" w:rsidRPr="00DA27B5">
              <w:t>La</w:t>
            </w:r>
            <w:r w:rsidR="003C7E66" w:rsidRPr="00DA27B5">
              <w:t xml:space="preserve"> inyección parauretral de</w:t>
            </w:r>
            <w:r w:rsidR="005F4198" w:rsidRPr="00DA27B5">
              <w:t xml:space="preserve"> anestésicos l</w:t>
            </w:r>
            <w:r w:rsidR="003C559E" w:rsidRPr="00DA27B5">
              <w:t>ocales es un método terapéutico</w:t>
            </w:r>
            <w:r w:rsidR="005F4198" w:rsidRPr="00DA27B5">
              <w:t xml:space="preserve"> que en </w:t>
            </w:r>
            <w:r w:rsidR="003C559E" w:rsidRPr="00DA27B5">
              <w:t xml:space="preserve">el caso de </w:t>
            </w:r>
            <w:r w:rsidR="006E1412" w:rsidRPr="00DA27B5">
              <w:t>vejiga irritable</w:t>
            </w:r>
            <w:r w:rsidR="005F4198" w:rsidRPr="00DA27B5">
              <w:t xml:space="preserve"> puede </w:t>
            </w:r>
            <w:r w:rsidR="00457645" w:rsidRPr="00DA27B5">
              <w:t>aportar</w:t>
            </w:r>
            <w:r w:rsidR="005F4198" w:rsidRPr="00DA27B5">
              <w:t xml:space="preserve"> éxitos </w:t>
            </w:r>
            <w:r w:rsidR="00A85AC3" w:rsidRPr="00DA27B5">
              <w:t xml:space="preserve">no sólo </w:t>
            </w:r>
            <w:r w:rsidR="005F4198" w:rsidRPr="00DA27B5">
              <w:t xml:space="preserve">subjetivos, si no también urodinámicamente </w:t>
            </w:r>
            <w:r w:rsidR="00457645" w:rsidRPr="00DA27B5">
              <w:t>mesurables</w:t>
            </w:r>
            <w:r w:rsidR="005F4198" w:rsidRPr="00DA27B5">
              <w:t>.</w:t>
            </w:r>
          </w:p>
        </w:tc>
      </w:tr>
      <w:tr w:rsidR="00424DF5" w:rsidRPr="00DA27B5" w:rsidTr="001F3C10">
        <w:tc>
          <w:tcPr>
            <w:tcW w:w="11196" w:type="dxa"/>
          </w:tcPr>
          <w:p w:rsidR="00424DF5" w:rsidRPr="00DA27B5" w:rsidRDefault="00C37E12">
            <w:pPr>
              <w:rPr>
                <w:sz w:val="26"/>
                <w:szCs w:val="26"/>
              </w:rPr>
            </w:pPr>
            <w:r w:rsidRPr="00DA27B5">
              <w:rPr>
                <w:b/>
                <w:sz w:val="26"/>
                <w:szCs w:val="26"/>
              </w:rPr>
              <w:t xml:space="preserve">Evaluación urodinámica del efecto de la terapia neural en la </w:t>
            </w:r>
            <w:r w:rsidR="006D051E" w:rsidRPr="00DA27B5">
              <w:rPr>
                <w:b/>
                <w:sz w:val="26"/>
                <w:szCs w:val="26"/>
              </w:rPr>
              <w:t>urgencia urinaria</w:t>
            </w:r>
            <w:r w:rsidRPr="00DA27B5">
              <w:rPr>
                <w:b/>
                <w:sz w:val="26"/>
                <w:szCs w:val="26"/>
              </w:rPr>
              <w:t xml:space="preserve"> motora y </w:t>
            </w:r>
            <w:r w:rsidR="006D051E" w:rsidRPr="00DA27B5">
              <w:rPr>
                <w:b/>
                <w:sz w:val="26"/>
                <w:szCs w:val="26"/>
              </w:rPr>
              <w:t>sensitiva</w:t>
            </w:r>
            <w:r w:rsidRPr="00DA27B5">
              <w:rPr>
                <w:b/>
                <w:sz w:val="26"/>
                <w:szCs w:val="26"/>
              </w:rPr>
              <w:t>.</w:t>
            </w:r>
          </w:p>
          <w:p w:rsidR="004818C9" w:rsidRPr="00DA27B5" w:rsidRDefault="001D6D69">
            <w:r w:rsidRPr="00DA27B5">
              <w:t xml:space="preserve">Tratamos a 10 pacientes </w:t>
            </w:r>
            <w:r w:rsidR="00E45DB8" w:rsidRPr="00DA27B5">
              <w:t>afectadas de</w:t>
            </w:r>
            <w:r w:rsidRPr="00DA27B5">
              <w:t xml:space="preserve"> </w:t>
            </w:r>
            <w:r w:rsidR="001D0DEC" w:rsidRPr="00DA27B5">
              <w:t>urgencia urinaria</w:t>
            </w:r>
            <w:r w:rsidRPr="00DA27B5">
              <w:t xml:space="preserve"> motora y </w:t>
            </w:r>
            <w:r w:rsidR="00DD3108" w:rsidRPr="00DA27B5">
              <w:t>sensitiva</w:t>
            </w:r>
            <w:r w:rsidRPr="00DA27B5">
              <w:t xml:space="preserve"> </w:t>
            </w:r>
            <w:r w:rsidR="00473D33" w:rsidRPr="00DA27B5">
              <w:t>por medio de inyecciones</w:t>
            </w:r>
            <w:r w:rsidRPr="00DA27B5">
              <w:t xml:space="preserve"> parauretral</w:t>
            </w:r>
            <w:r w:rsidR="00473D33" w:rsidRPr="00DA27B5">
              <w:t>es</w:t>
            </w:r>
            <w:r w:rsidRPr="00DA27B5">
              <w:t xml:space="preserve"> de un anestésico local.</w:t>
            </w:r>
            <w:r w:rsidR="004818C9" w:rsidRPr="00DA27B5">
              <w:t xml:space="preserve"> Tras el </w:t>
            </w:r>
            <w:r w:rsidR="00635104" w:rsidRPr="00DA27B5">
              <w:t>estudio</w:t>
            </w:r>
            <w:r w:rsidR="004818C9" w:rsidRPr="00DA27B5">
              <w:t xml:space="preserve"> clínico y urodinámico </w:t>
            </w:r>
            <w:r w:rsidR="007E36E8" w:rsidRPr="00DA27B5">
              <w:t xml:space="preserve">aplicamos </w:t>
            </w:r>
            <w:r w:rsidR="00587BB9" w:rsidRPr="00DA27B5">
              <w:t xml:space="preserve">por vía transvaginal a la derecha y la izquierda de la unión uretrovesical </w:t>
            </w:r>
            <w:r w:rsidR="007E36E8" w:rsidRPr="00DA27B5">
              <w:t xml:space="preserve">2,5 ml de solución de lidocaína al 1% </w:t>
            </w:r>
            <w:r w:rsidR="00966EB6" w:rsidRPr="00DA27B5">
              <w:t>y</w:t>
            </w:r>
            <w:r w:rsidR="005B0893" w:rsidRPr="00DA27B5">
              <w:t xml:space="preserve"> Kollidon para </w:t>
            </w:r>
            <w:r w:rsidR="00920CDF" w:rsidRPr="00DA27B5">
              <w:t>retrasar la absorción (Xyloneural</w:t>
            </w:r>
            <w:r w:rsidR="00920CDF" w:rsidRPr="00DA27B5">
              <w:rPr>
                <w:rFonts w:cs="Arial"/>
                <w:vertAlign w:val="superscript"/>
              </w:rPr>
              <w:t>®</w:t>
            </w:r>
            <w:r w:rsidR="00920CDF" w:rsidRPr="00DA27B5">
              <w:t>)</w:t>
            </w:r>
            <w:r w:rsidR="00F961D1" w:rsidRPr="00DA27B5">
              <w:t xml:space="preserve">. </w:t>
            </w:r>
            <w:r w:rsidR="00FA0166" w:rsidRPr="00DA27B5">
              <w:t xml:space="preserve">Cada </w:t>
            </w:r>
            <w:r w:rsidR="00F164EA" w:rsidRPr="00DA27B5">
              <w:t>ciclo</w:t>
            </w:r>
            <w:r w:rsidR="00B23E72" w:rsidRPr="00DA27B5">
              <w:t xml:space="preserve"> de</w:t>
            </w:r>
            <w:r w:rsidR="00F164EA" w:rsidRPr="00DA27B5">
              <w:t xml:space="preserve"> </w:t>
            </w:r>
            <w:r w:rsidR="00FA0166" w:rsidRPr="00DA27B5">
              <w:t xml:space="preserve">tratamiento </w:t>
            </w:r>
            <w:r w:rsidR="00106974" w:rsidRPr="00DA27B5">
              <w:t xml:space="preserve">consistió en 3 inyecciones con </w:t>
            </w:r>
            <w:r w:rsidR="0067019C" w:rsidRPr="00DA27B5">
              <w:t>intervalos</w:t>
            </w:r>
            <w:r w:rsidR="00106974" w:rsidRPr="00DA27B5">
              <w:t xml:space="preserve"> de 2 semanas entre inyecciones. 2 semanas tras la última inyección </w:t>
            </w:r>
            <w:r w:rsidR="00B2658C" w:rsidRPr="00DA27B5">
              <w:t>se repiti</w:t>
            </w:r>
            <w:r w:rsidR="0067019C" w:rsidRPr="00DA27B5">
              <w:t>ó el</w:t>
            </w:r>
            <w:r w:rsidR="00B2658C" w:rsidRPr="00DA27B5">
              <w:t xml:space="preserve"> </w:t>
            </w:r>
            <w:r w:rsidR="0067019C" w:rsidRPr="00DA27B5">
              <w:t>estudio urodinámico</w:t>
            </w:r>
            <w:r w:rsidR="00B2658C" w:rsidRPr="00DA27B5">
              <w:t>.</w:t>
            </w:r>
          </w:p>
          <w:p w:rsidR="00AB7AB2" w:rsidRPr="00DA27B5" w:rsidRDefault="00AB7AB2" w:rsidP="00F41C61">
            <w:r w:rsidRPr="00DA27B5">
              <w:t xml:space="preserve">Todas las pacientes mejoraron con la terapia: </w:t>
            </w:r>
            <w:r w:rsidR="00E7796D" w:rsidRPr="00DA27B5">
              <w:t>respecto a</w:t>
            </w:r>
            <w:r w:rsidR="009E37E9" w:rsidRPr="00DA27B5">
              <w:t xml:space="preserve"> los síntomas de urgencia y frecuencia </w:t>
            </w:r>
            <w:r w:rsidR="001F3C10" w:rsidRPr="00DA27B5">
              <w:t xml:space="preserve">tras la 3ª inyección </w:t>
            </w:r>
            <w:r w:rsidR="00DB40EC" w:rsidRPr="00DA27B5">
              <w:t xml:space="preserve">3/10 mujeres </w:t>
            </w:r>
            <w:r w:rsidR="00FB2F0A" w:rsidRPr="00DA27B5">
              <w:t>estaban asintomáticas</w:t>
            </w:r>
            <w:r w:rsidR="00DB40EC" w:rsidRPr="00DA27B5">
              <w:t xml:space="preserve">, 6/10 </w:t>
            </w:r>
            <w:r w:rsidR="00FB2F0A" w:rsidRPr="00DA27B5">
              <w:t xml:space="preserve">mujeres </w:t>
            </w:r>
            <w:r w:rsidR="008D1993" w:rsidRPr="00DA27B5">
              <w:t>informaron</w:t>
            </w:r>
            <w:r w:rsidR="009119B7" w:rsidRPr="00DA27B5">
              <w:t xml:space="preserve"> </w:t>
            </w:r>
            <w:r w:rsidR="008647EA" w:rsidRPr="00DA27B5">
              <w:t xml:space="preserve">de una </w:t>
            </w:r>
            <w:r w:rsidR="009119B7" w:rsidRPr="00DA27B5">
              <w:t>marcada mejoría</w:t>
            </w:r>
            <w:r w:rsidR="002675A9" w:rsidRPr="00DA27B5">
              <w:t>, y una mujer</w:t>
            </w:r>
            <w:r w:rsidR="008647EA" w:rsidRPr="00DA27B5">
              <w:t xml:space="preserve"> de una</w:t>
            </w:r>
            <w:r w:rsidR="002675A9" w:rsidRPr="00DA27B5">
              <w:t xml:space="preserve"> </w:t>
            </w:r>
            <w:r w:rsidR="008D1993" w:rsidRPr="00DA27B5">
              <w:t>leve</w:t>
            </w:r>
            <w:r w:rsidR="002675A9" w:rsidRPr="00DA27B5">
              <w:t xml:space="preserve"> mejoría</w:t>
            </w:r>
            <w:r w:rsidR="00951CEF" w:rsidRPr="00DA27B5">
              <w:t>.</w:t>
            </w:r>
            <w:r w:rsidR="00B77BC7" w:rsidRPr="00DA27B5">
              <w:t xml:space="preserve"> El volumen vesical medio </w:t>
            </w:r>
            <w:r w:rsidR="00826C35" w:rsidRPr="00DA27B5">
              <w:t>con</w:t>
            </w:r>
            <w:r w:rsidR="00821184" w:rsidRPr="00DA27B5">
              <w:t xml:space="preserve"> el primer deseo miccional</w:t>
            </w:r>
            <w:r w:rsidR="003A25CC" w:rsidRPr="00DA27B5">
              <w:t xml:space="preserve"> aumentó significativamente </w:t>
            </w:r>
            <w:r w:rsidR="00753208" w:rsidRPr="00DA27B5">
              <w:t xml:space="preserve">tras la terapia neural (p = 0,02); otros parámetros urodinámicos no se </w:t>
            </w:r>
            <w:r w:rsidR="00082D2A" w:rsidRPr="00DA27B5">
              <w:t>vieron afectados</w:t>
            </w:r>
            <w:r w:rsidR="00753208" w:rsidRPr="00DA27B5">
              <w:t xml:space="preserve">. </w:t>
            </w:r>
            <w:r w:rsidR="006307FC" w:rsidRPr="00DA27B5">
              <w:t xml:space="preserve">No se observaron efectos secundarios. </w:t>
            </w:r>
            <w:r w:rsidR="003F7E9F" w:rsidRPr="00DA27B5">
              <w:t xml:space="preserve">Concluimos que la inyección parauretral de un </w:t>
            </w:r>
            <w:r w:rsidR="00250C0B" w:rsidRPr="00DA27B5">
              <w:t>anestésico</w:t>
            </w:r>
            <w:r w:rsidR="003F7E9F" w:rsidRPr="00DA27B5">
              <w:t xml:space="preserve"> local es un tratamiento simple y efectivo </w:t>
            </w:r>
            <w:r w:rsidR="00F41C61" w:rsidRPr="00DA27B5">
              <w:t>en el caso de</w:t>
            </w:r>
            <w:r w:rsidR="00250C0B" w:rsidRPr="00DA27B5">
              <w:t xml:space="preserve"> la </w:t>
            </w:r>
            <w:r w:rsidR="00B0599C" w:rsidRPr="00DA27B5">
              <w:t xml:space="preserve">incontinencia de </w:t>
            </w:r>
            <w:r w:rsidR="005818CA" w:rsidRPr="00DA27B5">
              <w:t>urgencia</w:t>
            </w:r>
            <w:r w:rsidR="00250C0B" w:rsidRPr="00DA27B5">
              <w:t xml:space="preserve"> motora y </w:t>
            </w:r>
            <w:r w:rsidR="005818CA" w:rsidRPr="00DA27B5">
              <w:t>sensitiva</w:t>
            </w:r>
            <w:r w:rsidR="00250C0B" w:rsidRPr="00DA27B5">
              <w:t>.</w:t>
            </w:r>
          </w:p>
        </w:tc>
      </w:tr>
    </w:tbl>
    <w:p w:rsidR="00424DF5" w:rsidRPr="00DA27B5" w:rsidRDefault="00424DF5"/>
    <w:p w:rsidR="00D7664E" w:rsidRPr="00DA27B5" w:rsidRDefault="00D7664E"/>
    <w:p w:rsidR="00D7664E" w:rsidRPr="00DA27B5" w:rsidRDefault="00D7664E">
      <w:pPr>
        <w:rPr>
          <w:b/>
          <w:sz w:val="28"/>
          <w:szCs w:val="28"/>
        </w:rPr>
      </w:pPr>
      <w:r w:rsidRPr="00DA27B5">
        <w:rPr>
          <w:b/>
          <w:sz w:val="28"/>
          <w:szCs w:val="28"/>
        </w:rPr>
        <w:t>Introducción</w:t>
      </w:r>
    </w:p>
    <w:p w:rsidR="00D7664E" w:rsidRPr="00DA27B5" w:rsidRDefault="00D7664E"/>
    <w:p w:rsidR="00D7664E" w:rsidRPr="00DA27B5" w:rsidRDefault="00DD2EEC">
      <w:r w:rsidRPr="00DA27B5">
        <w:t>El</w:t>
      </w:r>
      <w:r w:rsidR="00D7664E" w:rsidRPr="00DA27B5">
        <w:t xml:space="preserve"> </w:t>
      </w:r>
      <w:r w:rsidRPr="00DA27B5">
        <w:t>tratamiento conservador</w:t>
      </w:r>
      <w:r w:rsidR="00D7664E" w:rsidRPr="00DA27B5">
        <w:t xml:space="preserve"> de la vejiga irritable es a menudo </w:t>
      </w:r>
      <w:r w:rsidR="00FE47F0" w:rsidRPr="00DA27B5">
        <w:t>insatisfactorio</w:t>
      </w:r>
      <w:r w:rsidR="00D7664E" w:rsidRPr="00DA27B5">
        <w:t>.</w:t>
      </w:r>
      <w:r w:rsidR="005473B3" w:rsidRPr="00DA27B5">
        <w:t xml:space="preserve"> </w:t>
      </w:r>
      <w:r w:rsidR="00E95466" w:rsidRPr="00DA27B5">
        <w:t>Incluso</w:t>
      </w:r>
      <w:r w:rsidR="00D7664E" w:rsidRPr="00DA27B5">
        <w:t xml:space="preserve"> el gran número de métodos terapéuticos hasta </w:t>
      </w:r>
      <w:r w:rsidR="00BD0B85" w:rsidRPr="00DA27B5">
        <w:t>hoy</w:t>
      </w:r>
      <w:r w:rsidR="00D7664E" w:rsidRPr="00DA27B5">
        <w:t xml:space="preserve"> </w:t>
      </w:r>
      <w:r w:rsidR="00BD0B85" w:rsidRPr="00DA27B5">
        <w:t>descritos</w:t>
      </w:r>
      <w:r w:rsidR="00D7664E" w:rsidRPr="00DA27B5">
        <w:t xml:space="preserve"> </w:t>
      </w:r>
      <w:r w:rsidR="00E95466" w:rsidRPr="00DA27B5">
        <w:t>sugieren</w:t>
      </w:r>
      <w:r w:rsidR="003F65B0" w:rsidRPr="00DA27B5">
        <w:t xml:space="preserve"> </w:t>
      </w:r>
      <w:r w:rsidR="00D7664E" w:rsidRPr="00DA27B5">
        <w:t xml:space="preserve">que todavía no se ha encontrado una terapia exitosa </w:t>
      </w:r>
      <w:r w:rsidR="004958A2" w:rsidRPr="00DA27B5">
        <w:t>para</w:t>
      </w:r>
      <w:r w:rsidR="00D7664E" w:rsidRPr="00DA27B5">
        <w:t xml:space="preserve"> todos los casos. </w:t>
      </w:r>
      <w:r w:rsidR="00F20D7B" w:rsidRPr="00DA27B5">
        <w:t>U</w:t>
      </w:r>
      <w:r w:rsidR="005113A9" w:rsidRPr="00DA27B5">
        <w:t>na vez descartado el origen orgánico, como por ejemplo una obstrucción infravesical o un tumor vesical, e</w:t>
      </w:r>
      <w:r w:rsidR="00625682" w:rsidRPr="00DA27B5">
        <w:t xml:space="preserve">l tratamiento </w:t>
      </w:r>
      <w:r w:rsidR="003470A3" w:rsidRPr="00DA27B5">
        <w:t xml:space="preserve">actualmente </w:t>
      </w:r>
      <w:r w:rsidR="00625682" w:rsidRPr="00DA27B5">
        <w:t xml:space="preserve">de elección es </w:t>
      </w:r>
      <w:r w:rsidR="00F20D7B" w:rsidRPr="00DA27B5">
        <w:t>farmacológico</w:t>
      </w:r>
      <w:r w:rsidR="0029055E" w:rsidRPr="00DA27B5">
        <w:t xml:space="preserve"> con parasimpaticolíticos de acción específica o relajantes musculares. </w:t>
      </w:r>
      <w:r w:rsidR="000251C2" w:rsidRPr="00DA27B5">
        <w:t xml:space="preserve">En </w:t>
      </w:r>
      <w:r w:rsidR="00724C98" w:rsidRPr="00DA27B5">
        <w:t xml:space="preserve">casos </w:t>
      </w:r>
      <w:r w:rsidR="00353577" w:rsidRPr="00DA27B5">
        <w:t xml:space="preserve">individuales </w:t>
      </w:r>
      <w:r w:rsidR="00F20D7B" w:rsidRPr="00DA27B5">
        <w:t>la</w:t>
      </w:r>
      <w:r w:rsidR="0046367E" w:rsidRPr="00DA27B5">
        <w:t xml:space="preserve"> sustitución hormonal también puede </w:t>
      </w:r>
      <w:r w:rsidR="00724C98" w:rsidRPr="00DA27B5">
        <w:t>ser exitosa</w:t>
      </w:r>
      <w:r w:rsidR="0046367E" w:rsidRPr="00DA27B5">
        <w:t xml:space="preserve">. </w:t>
      </w:r>
      <w:r w:rsidR="00C944ED" w:rsidRPr="00DA27B5">
        <w:t>Sin embargo, muchos pacie</w:t>
      </w:r>
      <w:r w:rsidR="00593F7E" w:rsidRPr="00DA27B5">
        <w:t>ntes son escépticos frente a la</w:t>
      </w:r>
      <w:r w:rsidR="00C944ED" w:rsidRPr="00DA27B5">
        <w:t xml:space="preserve"> terapia </w:t>
      </w:r>
      <w:r w:rsidR="00A52B57" w:rsidRPr="00DA27B5">
        <w:t>farmacológica</w:t>
      </w:r>
      <w:r w:rsidR="00C944ED" w:rsidRPr="00DA27B5">
        <w:t xml:space="preserve">, ya sea por </w:t>
      </w:r>
      <w:r w:rsidR="00593F7E" w:rsidRPr="00DA27B5">
        <w:t>sus</w:t>
      </w:r>
      <w:r w:rsidR="00C944ED" w:rsidRPr="00DA27B5">
        <w:t xml:space="preserve"> efectos secundarios o por “</w:t>
      </w:r>
      <w:r w:rsidR="002C7B49" w:rsidRPr="00DA27B5">
        <w:t>hartazgo de pastillas”.</w:t>
      </w:r>
    </w:p>
    <w:p w:rsidR="002C7B49" w:rsidRPr="00DA27B5" w:rsidRDefault="004A7A3B">
      <w:r w:rsidRPr="00DA27B5">
        <w:t>La terapia neural es u</w:t>
      </w:r>
      <w:r w:rsidR="00E34629" w:rsidRPr="00DA27B5">
        <w:t>na terapia</w:t>
      </w:r>
      <w:r w:rsidRPr="00DA27B5">
        <w:t xml:space="preserve"> interesante y no convencional</w:t>
      </w:r>
      <w:r w:rsidR="00E34629" w:rsidRPr="00DA27B5">
        <w:t>.</w:t>
      </w:r>
      <w:r w:rsidR="000E0BD3" w:rsidRPr="00DA27B5">
        <w:t xml:space="preserve"> </w:t>
      </w:r>
      <w:r w:rsidR="003C0ECC" w:rsidRPr="00DA27B5">
        <w:t>Se fundamenta en el</w:t>
      </w:r>
      <w:r w:rsidR="000E0BD3" w:rsidRPr="00DA27B5">
        <w:t xml:space="preserve"> tratamiento a travé</w:t>
      </w:r>
      <w:r w:rsidR="003C0ECC" w:rsidRPr="00DA27B5">
        <w:t xml:space="preserve">s del sistema neurovegetativo </w:t>
      </w:r>
      <w:r w:rsidR="00DB1990" w:rsidRPr="00DA27B5">
        <w:t>mediante</w:t>
      </w:r>
      <w:r w:rsidR="000E0BD3" w:rsidRPr="00DA27B5">
        <w:t xml:space="preserve"> la inyección de un anestésico local</w:t>
      </w:r>
      <w:r w:rsidR="003C0ECC" w:rsidRPr="00DA27B5">
        <w:t>,</w:t>
      </w:r>
      <w:r w:rsidR="000E0BD3" w:rsidRPr="00DA27B5">
        <w:t xml:space="preserve"> que debido </w:t>
      </w:r>
      <w:r w:rsidR="003C0ECC" w:rsidRPr="00DA27B5">
        <w:t>su</w:t>
      </w:r>
      <w:r w:rsidR="000E0BD3" w:rsidRPr="00DA27B5">
        <w:t xml:space="preserve"> alto potencial propio</w:t>
      </w:r>
      <w:r w:rsidR="003D6142" w:rsidRPr="00DA27B5">
        <w:t>,</w:t>
      </w:r>
      <w:r w:rsidR="000E0BD3" w:rsidRPr="00DA27B5">
        <w:t xml:space="preserve"> </w:t>
      </w:r>
      <w:r w:rsidR="00A31FA6" w:rsidRPr="00DA27B5">
        <w:t>produce</w:t>
      </w:r>
      <w:r w:rsidR="003C0ECC" w:rsidRPr="00DA27B5">
        <w:t xml:space="preserve"> l</w:t>
      </w:r>
      <w:r w:rsidR="000E0BD3" w:rsidRPr="00DA27B5">
        <w:t xml:space="preserve">a repolarización y estabilización de los potenciales </w:t>
      </w:r>
      <w:r w:rsidR="003C0ECC" w:rsidRPr="00DA27B5">
        <w:t xml:space="preserve">disminuidos </w:t>
      </w:r>
      <w:r w:rsidR="000E0BD3" w:rsidRPr="00DA27B5">
        <w:t xml:space="preserve">de </w:t>
      </w:r>
      <w:r w:rsidR="003C0ECC" w:rsidRPr="00DA27B5">
        <w:t xml:space="preserve">la </w:t>
      </w:r>
      <w:r w:rsidR="000E0BD3" w:rsidRPr="00DA27B5">
        <w:t>membrana celular</w:t>
      </w:r>
      <w:r w:rsidR="00A31FA6" w:rsidRPr="00DA27B5">
        <w:t xml:space="preserve"> dañada por irritación</w:t>
      </w:r>
      <w:r w:rsidR="000E0BD3" w:rsidRPr="00DA27B5">
        <w:t xml:space="preserve">. </w:t>
      </w:r>
      <w:r w:rsidR="003D6142" w:rsidRPr="00DA27B5">
        <w:t>Así, l</w:t>
      </w:r>
      <w:r w:rsidR="00140C04" w:rsidRPr="00DA27B5">
        <w:t xml:space="preserve">a función </w:t>
      </w:r>
      <w:r w:rsidR="00485B10" w:rsidRPr="00DA27B5">
        <w:t>interferida</w:t>
      </w:r>
      <w:r w:rsidR="00140C04" w:rsidRPr="00DA27B5">
        <w:t xml:space="preserve"> de los </w:t>
      </w:r>
      <w:r w:rsidR="00485B10" w:rsidRPr="00DA27B5">
        <w:t xml:space="preserve">circuitos </w:t>
      </w:r>
      <w:r w:rsidR="003D6142" w:rsidRPr="00DA27B5">
        <w:t xml:space="preserve">cibernéticos </w:t>
      </w:r>
      <w:r w:rsidR="00485B10" w:rsidRPr="00DA27B5">
        <w:t xml:space="preserve">reguladores </w:t>
      </w:r>
      <w:r w:rsidR="00140C04" w:rsidRPr="00DA27B5">
        <w:t xml:space="preserve">vuelve </w:t>
      </w:r>
      <w:r w:rsidR="003D6142" w:rsidRPr="00DA27B5">
        <w:t>a accionar</w:t>
      </w:r>
      <w:r w:rsidR="004677A7" w:rsidRPr="00DA27B5">
        <w:t xml:space="preserve">se </w:t>
      </w:r>
      <w:r w:rsidR="003D6142" w:rsidRPr="00DA27B5">
        <w:t>cuanto</w:t>
      </w:r>
      <w:r w:rsidR="00807FD5" w:rsidRPr="00DA27B5">
        <w:t xml:space="preserve"> menos temporalmente </w:t>
      </w:r>
      <w:r w:rsidR="00140C04" w:rsidRPr="00DA27B5">
        <w:t>(3).</w:t>
      </w:r>
    </w:p>
    <w:p w:rsidR="00140C04" w:rsidRPr="00DA27B5" w:rsidRDefault="0079160D">
      <w:r w:rsidRPr="00DA27B5">
        <w:t>Tratamos</w:t>
      </w:r>
      <w:r w:rsidR="00064552" w:rsidRPr="00DA27B5">
        <w:t>,</w:t>
      </w:r>
      <w:r w:rsidRPr="00DA27B5">
        <w:t xml:space="preserve"> </w:t>
      </w:r>
      <w:r w:rsidR="00064552" w:rsidRPr="00DA27B5">
        <w:t xml:space="preserve">según las experiencias de </w:t>
      </w:r>
      <w:r w:rsidR="00064552" w:rsidRPr="00DA27B5">
        <w:rPr>
          <w:i/>
        </w:rPr>
        <w:t xml:space="preserve">Döge, </w:t>
      </w:r>
      <w:r w:rsidR="00064552" w:rsidRPr="00DA27B5">
        <w:t xml:space="preserve">a pacientes con vejiga irritable motora o sensitiva demostrada por anamnesis e urodinamia mediante inyecciones parauretrales de una solución de </w:t>
      </w:r>
      <w:r w:rsidR="00064552" w:rsidRPr="00DA27B5">
        <w:lastRenderedPageBreak/>
        <w:t xml:space="preserve">lidocaína </w:t>
      </w:r>
      <w:r w:rsidR="003874D6" w:rsidRPr="00DA27B5">
        <w:t xml:space="preserve">(2). Los resultados sorprendentemente positivos </w:t>
      </w:r>
      <w:r w:rsidR="00064552" w:rsidRPr="00DA27B5">
        <w:t>nos llevaron</w:t>
      </w:r>
      <w:r w:rsidR="0044103A" w:rsidRPr="00DA27B5">
        <w:t xml:space="preserve"> al</w:t>
      </w:r>
      <w:r w:rsidR="003874D6" w:rsidRPr="00DA27B5">
        <w:t xml:space="preserve"> </w:t>
      </w:r>
      <w:r w:rsidR="0044103A" w:rsidRPr="00DA27B5">
        <w:t>estudio prospectivo</w:t>
      </w:r>
      <w:r w:rsidR="0080763E" w:rsidRPr="00DA27B5">
        <w:t xml:space="preserve"> y </w:t>
      </w:r>
      <w:r w:rsidR="0044103A" w:rsidRPr="00DA27B5">
        <w:t>objetiv</w:t>
      </w:r>
      <w:r w:rsidR="003874D6" w:rsidRPr="00DA27B5">
        <w:t xml:space="preserve">ación urodinámica de </w:t>
      </w:r>
      <w:r w:rsidR="00185A00" w:rsidRPr="00DA27B5">
        <w:t>una muestra</w:t>
      </w:r>
      <w:r w:rsidR="003874D6" w:rsidRPr="00DA27B5">
        <w:t xml:space="preserve"> de diez mujeres no </w:t>
      </w:r>
      <w:r w:rsidR="0080763E" w:rsidRPr="00DA27B5">
        <w:t>seleccionadas</w:t>
      </w:r>
      <w:r w:rsidR="003874D6" w:rsidRPr="00DA27B5">
        <w:t>.</w:t>
      </w:r>
    </w:p>
    <w:p w:rsidR="0036268E" w:rsidRPr="00DA27B5" w:rsidRDefault="0036268E"/>
    <w:p w:rsidR="0036268E" w:rsidRPr="00DA27B5" w:rsidRDefault="00DA00E9">
      <w:r w:rsidRPr="00DA27B5">
        <w:rPr>
          <w:b/>
        </w:rPr>
        <w:t>Material</w:t>
      </w:r>
      <w:r w:rsidR="0036268E" w:rsidRPr="00DA27B5">
        <w:rPr>
          <w:b/>
        </w:rPr>
        <w:t xml:space="preserve"> y método</w:t>
      </w:r>
    </w:p>
    <w:p w:rsidR="0036268E" w:rsidRPr="00DA27B5" w:rsidRDefault="0036268E"/>
    <w:p w:rsidR="0036268E" w:rsidRPr="00DA27B5" w:rsidRDefault="00A20CDE">
      <w:pPr>
        <w:rPr>
          <w:rFonts w:cs="Arial"/>
        </w:rPr>
      </w:pPr>
      <w:r w:rsidRPr="00DA27B5">
        <w:t xml:space="preserve">Para la </w:t>
      </w:r>
      <w:r w:rsidR="002321F2" w:rsidRPr="00DA27B5">
        <w:t>estudio</w:t>
      </w:r>
      <w:r w:rsidRPr="00DA27B5">
        <w:t xml:space="preserve"> se </w:t>
      </w:r>
      <w:r w:rsidR="002321F2" w:rsidRPr="00DA27B5">
        <w:t>incluyeron</w:t>
      </w:r>
      <w:r w:rsidR="002B36A8" w:rsidRPr="00DA27B5">
        <w:t xml:space="preserve"> a</w:t>
      </w:r>
      <w:r w:rsidRPr="00DA27B5">
        <w:t xml:space="preserve"> diez </w:t>
      </w:r>
      <w:r w:rsidR="00B43ED0" w:rsidRPr="00DA27B5">
        <w:t xml:space="preserve">mujeres </w:t>
      </w:r>
      <w:r w:rsidR="002B36A8" w:rsidRPr="00DA27B5">
        <w:t>diagnosticadas de</w:t>
      </w:r>
      <w:r w:rsidR="00B43ED0" w:rsidRPr="00DA27B5">
        <w:t xml:space="preserve"> vejiga irritable </w:t>
      </w:r>
      <w:r w:rsidR="00F358FC" w:rsidRPr="00DA27B5">
        <w:t xml:space="preserve">motora y </w:t>
      </w:r>
      <w:r w:rsidR="002321F2" w:rsidRPr="00DA27B5">
        <w:t>sensitiva</w:t>
      </w:r>
      <w:r w:rsidR="00F358FC" w:rsidRPr="00DA27B5">
        <w:t xml:space="preserve">, </w:t>
      </w:r>
      <w:r w:rsidR="00D66B53" w:rsidRPr="00DA27B5">
        <w:t xml:space="preserve">y </w:t>
      </w:r>
      <w:r w:rsidR="00F358FC" w:rsidRPr="00DA27B5">
        <w:t xml:space="preserve">para las que no había prevista </w:t>
      </w:r>
      <w:r w:rsidR="0044791F" w:rsidRPr="00DA27B5">
        <w:t>cirugía</w:t>
      </w:r>
      <w:r w:rsidR="00F358FC" w:rsidRPr="00DA27B5">
        <w:t>.</w:t>
      </w:r>
      <w:r w:rsidR="00501FB1" w:rsidRPr="00DA27B5">
        <w:t xml:space="preserve"> L</w:t>
      </w:r>
      <w:r w:rsidR="00E067CE" w:rsidRPr="00DA27B5">
        <w:t xml:space="preserve">a </w:t>
      </w:r>
      <w:r w:rsidR="00501FB1" w:rsidRPr="00DA27B5">
        <w:t>incontinencia de esfuerzo</w:t>
      </w:r>
      <w:r w:rsidR="00E067CE" w:rsidRPr="00DA27B5">
        <w:t xml:space="preserve"> </w:t>
      </w:r>
      <w:r w:rsidR="00501FB1" w:rsidRPr="00DA27B5">
        <w:t>coexistente</w:t>
      </w:r>
      <w:r w:rsidR="00E067CE" w:rsidRPr="00DA27B5">
        <w:t xml:space="preserve"> no fue un motivo </w:t>
      </w:r>
      <w:r w:rsidR="00501FB1" w:rsidRPr="00DA27B5">
        <w:t>exclusión</w:t>
      </w:r>
      <w:r w:rsidR="00E067CE" w:rsidRPr="00DA27B5">
        <w:t xml:space="preserve">. </w:t>
      </w:r>
      <w:r w:rsidR="00A43E69" w:rsidRPr="00DA27B5">
        <w:t xml:space="preserve">La tabla 1 muestra la </w:t>
      </w:r>
      <w:r w:rsidR="002D74D0" w:rsidRPr="00DA27B5">
        <w:t>composición del grupo de pacientes</w:t>
      </w:r>
      <w:r w:rsidR="00A43E69" w:rsidRPr="00DA27B5">
        <w:t>.</w:t>
      </w:r>
      <w:r w:rsidR="008A602A" w:rsidRPr="00DA27B5">
        <w:t xml:space="preserve"> La anamnesis se realizó </w:t>
      </w:r>
      <w:r w:rsidR="0073368D" w:rsidRPr="00DA27B5">
        <w:t xml:space="preserve">mediante el </w:t>
      </w:r>
      <w:r w:rsidR="00AE6D4A" w:rsidRPr="00DA27B5">
        <w:t>cuestionario</w:t>
      </w:r>
      <w:r w:rsidR="001C2FC5" w:rsidRPr="00DA27B5">
        <w:t xml:space="preserve"> postulado por</w:t>
      </w:r>
      <w:r w:rsidR="00AE6D4A" w:rsidRPr="00DA27B5">
        <w:rPr>
          <w:i/>
        </w:rPr>
        <w:t xml:space="preserve"> </w:t>
      </w:r>
      <w:r w:rsidR="0073368D" w:rsidRPr="00DA27B5">
        <w:rPr>
          <w:i/>
        </w:rPr>
        <w:t>Gaudenz</w:t>
      </w:r>
      <w:r w:rsidR="00881884" w:rsidRPr="00DA27B5">
        <w:t xml:space="preserve">, que </w:t>
      </w:r>
      <w:r w:rsidR="001C2FC5" w:rsidRPr="00DA27B5">
        <w:t xml:space="preserve">asegura </w:t>
      </w:r>
      <w:r w:rsidR="00881884" w:rsidRPr="00DA27B5">
        <w:t xml:space="preserve">una buena </w:t>
      </w:r>
      <w:r w:rsidR="00E35F83" w:rsidRPr="00DA27B5">
        <w:t>concordancia</w:t>
      </w:r>
      <w:r w:rsidR="00556280" w:rsidRPr="00DA27B5">
        <w:t xml:space="preserve"> </w:t>
      </w:r>
      <w:r w:rsidR="00F52210" w:rsidRPr="00DA27B5">
        <w:t>respecto al</w:t>
      </w:r>
      <w:r w:rsidR="00556280" w:rsidRPr="00DA27B5">
        <w:t xml:space="preserve"> diagnóstico urodinámico (6,10).</w:t>
      </w:r>
      <w:r w:rsidR="00CC5953" w:rsidRPr="00DA27B5">
        <w:t xml:space="preserve"> Tras </w:t>
      </w:r>
      <w:r w:rsidR="00E35F83" w:rsidRPr="00DA27B5">
        <w:t>realizar el</w:t>
      </w:r>
      <w:r w:rsidR="00CC5953" w:rsidRPr="00DA27B5">
        <w:t xml:space="preserve"> </w:t>
      </w:r>
      <w:r w:rsidR="00E35F83" w:rsidRPr="00DA27B5">
        <w:t>examen del</w:t>
      </w:r>
      <w:r w:rsidR="00373029" w:rsidRPr="00DA27B5">
        <w:t xml:space="preserve"> sedimento y </w:t>
      </w:r>
      <w:r w:rsidR="00E35F83" w:rsidRPr="00DA27B5">
        <w:t>el</w:t>
      </w:r>
      <w:r w:rsidR="00373029" w:rsidRPr="00DA27B5">
        <w:t xml:space="preserve"> cultivo de orina </w:t>
      </w:r>
      <w:r w:rsidR="00E35F83" w:rsidRPr="00DA27B5">
        <w:t xml:space="preserve">se practicó </w:t>
      </w:r>
      <w:r w:rsidR="007A1FFE" w:rsidRPr="00DA27B5">
        <w:t>l</w:t>
      </w:r>
      <w:r w:rsidR="00555CA2" w:rsidRPr="00DA27B5">
        <w:t xml:space="preserve">a </w:t>
      </w:r>
      <w:r w:rsidR="00E35F83" w:rsidRPr="00DA27B5">
        <w:t>exploración</w:t>
      </w:r>
      <w:r w:rsidR="00555CA2" w:rsidRPr="00DA27B5">
        <w:t xml:space="preserve"> urodinámica, que consistía en una cistometría mediante llenado de la vejiga con una </w:t>
      </w:r>
      <w:r w:rsidR="00E35F83" w:rsidRPr="00DA27B5">
        <w:t>solución salina</w:t>
      </w:r>
      <w:r w:rsidR="00555CA2" w:rsidRPr="00DA27B5">
        <w:t xml:space="preserve"> fisiológica y a continuación</w:t>
      </w:r>
      <w:r w:rsidR="00D16E85" w:rsidRPr="00DA27B5">
        <w:t xml:space="preserve"> en</w:t>
      </w:r>
      <w:r w:rsidR="00555CA2" w:rsidRPr="00DA27B5">
        <w:t xml:space="preserve"> una uretrocistometría </w:t>
      </w:r>
      <w:r w:rsidR="00E21A1D" w:rsidRPr="00DA27B5">
        <w:t xml:space="preserve">postperfusión </w:t>
      </w:r>
      <w:r w:rsidR="00555CA2" w:rsidRPr="00DA27B5">
        <w:t xml:space="preserve">simultánea en decúbito </w:t>
      </w:r>
      <w:r w:rsidR="00EE2C2C" w:rsidRPr="00DA27B5">
        <w:t>(7).</w:t>
      </w:r>
      <w:r w:rsidR="007952C3" w:rsidRPr="00DA27B5">
        <w:t xml:space="preserve"> Para </w:t>
      </w:r>
      <w:r w:rsidR="005F2E2A" w:rsidRPr="00DA27B5">
        <w:rPr>
          <w:rFonts w:cs="Arial"/>
        </w:rPr>
        <w:t xml:space="preserve">descartar </w:t>
      </w:r>
      <w:r w:rsidR="007952C3" w:rsidRPr="00DA27B5">
        <w:rPr>
          <w:rFonts w:cs="Arial"/>
        </w:rPr>
        <w:t>respectivamente</w:t>
      </w:r>
      <w:r w:rsidR="006C72E7" w:rsidRPr="00DA27B5">
        <w:rPr>
          <w:rFonts w:cs="Arial"/>
        </w:rPr>
        <w:t xml:space="preserve"> una lesión orgánica en la vejiga</w:t>
      </w:r>
      <w:r w:rsidR="007952C3" w:rsidRPr="00DA27B5">
        <w:rPr>
          <w:rFonts w:cs="Arial"/>
        </w:rPr>
        <w:t xml:space="preserve"> o</w:t>
      </w:r>
      <w:r w:rsidR="006C72E7" w:rsidRPr="00DA27B5">
        <w:rPr>
          <w:rFonts w:cs="Arial"/>
        </w:rPr>
        <w:t xml:space="preserve"> </w:t>
      </w:r>
      <w:r w:rsidR="007C595F" w:rsidRPr="00DA27B5">
        <w:rPr>
          <w:rFonts w:cs="Arial"/>
        </w:rPr>
        <w:t>u</w:t>
      </w:r>
      <w:r w:rsidR="007952C3" w:rsidRPr="00DA27B5">
        <w:rPr>
          <w:rFonts w:cs="Arial"/>
        </w:rPr>
        <w:t xml:space="preserve">na obstrucción </w:t>
      </w:r>
      <w:r w:rsidR="006C72E7" w:rsidRPr="00DA27B5">
        <w:rPr>
          <w:rFonts w:cs="Arial"/>
        </w:rPr>
        <w:t xml:space="preserve">infravesical, en casos </w:t>
      </w:r>
      <w:r w:rsidR="005F2E2A" w:rsidRPr="00DA27B5">
        <w:rPr>
          <w:rFonts w:cs="Arial"/>
        </w:rPr>
        <w:t xml:space="preserve">individuales </w:t>
      </w:r>
      <w:r w:rsidR="007C595F" w:rsidRPr="00DA27B5">
        <w:rPr>
          <w:rFonts w:cs="Arial"/>
        </w:rPr>
        <w:t xml:space="preserve">realizamos una cistoscopia y una calibración uretral mediante </w:t>
      </w:r>
      <w:r w:rsidR="00631346" w:rsidRPr="00DA27B5">
        <w:rPr>
          <w:rFonts w:cs="Arial"/>
        </w:rPr>
        <w:t xml:space="preserve">sonda </w:t>
      </w:r>
      <w:r w:rsidR="00765DFB" w:rsidRPr="00DA27B5">
        <w:rPr>
          <w:rFonts w:cs="Arial"/>
        </w:rPr>
        <w:t>b</w:t>
      </w:r>
      <w:r w:rsidR="007C595F" w:rsidRPr="00DA27B5">
        <w:rPr>
          <w:rFonts w:cs="Arial"/>
        </w:rPr>
        <w:t>ougie</w:t>
      </w:r>
      <w:r w:rsidR="00765DFB" w:rsidRPr="00DA27B5">
        <w:rPr>
          <w:rFonts w:cs="Arial"/>
        </w:rPr>
        <w:t xml:space="preserve"> à boule</w:t>
      </w:r>
      <w:r w:rsidR="007C595F" w:rsidRPr="00DA27B5">
        <w:rPr>
          <w:rFonts w:cs="Arial"/>
        </w:rPr>
        <w:t>.</w:t>
      </w:r>
    </w:p>
    <w:p w:rsidR="005A4749" w:rsidRPr="00DA27B5" w:rsidRDefault="005A4749"/>
    <w:p w:rsidR="00906D45" w:rsidRPr="00DA27B5" w:rsidRDefault="00906D45">
      <w:pPr>
        <w:rPr>
          <w:b/>
        </w:rPr>
      </w:pPr>
      <w:r w:rsidRPr="00DA27B5">
        <w:rPr>
          <w:b/>
        </w:rPr>
        <w:t>Tabla 1</w:t>
      </w:r>
    </w:p>
    <w:tbl>
      <w:tblPr>
        <w:tblStyle w:val="Tablaconcuadrcula"/>
        <w:tblW w:w="0" w:type="auto"/>
        <w:tblLook w:val="04A0"/>
      </w:tblPr>
      <w:tblGrid>
        <w:gridCol w:w="3961"/>
        <w:gridCol w:w="749"/>
        <w:gridCol w:w="1297"/>
      </w:tblGrid>
      <w:tr w:rsidR="00205252" w:rsidRPr="00DA27B5" w:rsidTr="00B72EB7">
        <w:tc>
          <w:tcPr>
            <w:tcW w:w="6007" w:type="dxa"/>
            <w:gridSpan w:val="3"/>
          </w:tcPr>
          <w:p w:rsidR="00205252" w:rsidRPr="00DA27B5" w:rsidRDefault="006C3024">
            <w:r w:rsidRPr="00DA27B5">
              <w:t>Grupo de pacientes</w:t>
            </w:r>
            <w:r w:rsidR="00205252" w:rsidRPr="00DA27B5">
              <w:t xml:space="preserve"> (n = 10)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205252">
            <w:r w:rsidRPr="00DA27B5">
              <w:t>Edad (</w:t>
            </w:r>
            <w:r w:rsidRPr="00DA27B5">
              <w:rPr>
                <w:rFonts w:cs="Arial"/>
              </w:rPr>
              <w:t>ẋ</w:t>
            </w:r>
            <w:r w:rsidRPr="00DA27B5">
              <w:t xml:space="preserve">, años)                                    </w:t>
            </w:r>
          </w:p>
        </w:tc>
        <w:tc>
          <w:tcPr>
            <w:tcW w:w="749" w:type="dxa"/>
          </w:tcPr>
          <w:p w:rsidR="00205252" w:rsidRPr="00DA27B5" w:rsidRDefault="00205252" w:rsidP="0071130A">
            <w:r w:rsidRPr="00DA27B5">
              <w:t>60,3</w:t>
            </w:r>
          </w:p>
        </w:tc>
        <w:tc>
          <w:tcPr>
            <w:tcW w:w="1297" w:type="dxa"/>
          </w:tcPr>
          <w:p w:rsidR="00205252" w:rsidRPr="00DA27B5" w:rsidRDefault="00205252">
            <w:r w:rsidRPr="00DA27B5">
              <w:t>(40-72)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205252">
            <w:r w:rsidRPr="00DA27B5">
              <w:t xml:space="preserve">Premenopausia   </w:t>
            </w:r>
          </w:p>
        </w:tc>
        <w:tc>
          <w:tcPr>
            <w:tcW w:w="749" w:type="dxa"/>
          </w:tcPr>
          <w:p w:rsidR="00205252" w:rsidRPr="00DA27B5" w:rsidRDefault="00205252"/>
        </w:tc>
        <w:tc>
          <w:tcPr>
            <w:tcW w:w="1297" w:type="dxa"/>
          </w:tcPr>
          <w:p w:rsidR="00205252" w:rsidRPr="00DA27B5" w:rsidRDefault="00205252">
            <w:r w:rsidRPr="00DA27B5">
              <w:t>2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205252">
            <w:r w:rsidRPr="00DA27B5">
              <w:t>Postemenopausia</w:t>
            </w:r>
          </w:p>
        </w:tc>
        <w:tc>
          <w:tcPr>
            <w:tcW w:w="749" w:type="dxa"/>
          </w:tcPr>
          <w:p w:rsidR="00205252" w:rsidRPr="00DA27B5" w:rsidRDefault="00205252"/>
        </w:tc>
        <w:tc>
          <w:tcPr>
            <w:tcW w:w="1297" w:type="dxa"/>
          </w:tcPr>
          <w:p w:rsidR="00205252" w:rsidRPr="00DA27B5" w:rsidRDefault="00205252">
            <w:r w:rsidRPr="00DA27B5">
              <w:t>8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6C3024" w:rsidP="004C2DB1">
            <w:r w:rsidRPr="00DA27B5">
              <w:t>Partos</w:t>
            </w:r>
            <w:r w:rsidR="00205252" w:rsidRPr="00DA27B5">
              <w:t xml:space="preserve"> 0</w:t>
            </w:r>
          </w:p>
        </w:tc>
        <w:tc>
          <w:tcPr>
            <w:tcW w:w="749" w:type="dxa"/>
          </w:tcPr>
          <w:p w:rsidR="00205252" w:rsidRPr="00DA27B5" w:rsidRDefault="00205252"/>
        </w:tc>
        <w:tc>
          <w:tcPr>
            <w:tcW w:w="1297" w:type="dxa"/>
          </w:tcPr>
          <w:p w:rsidR="00205252" w:rsidRPr="00DA27B5" w:rsidRDefault="00205252">
            <w:r w:rsidRPr="00DA27B5">
              <w:t>2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205252" w:rsidP="0083148B">
            <w:pPr>
              <w:ind w:left="735"/>
            </w:pPr>
            <w:r w:rsidRPr="00DA27B5">
              <w:t>1-3</w:t>
            </w:r>
          </w:p>
        </w:tc>
        <w:tc>
          <w:tcPr>
            <w:tcW w:w="749" w:type="dxa"/>
          </w:tcPr>
          <w:p w:rsidR="00205252" w:rsidRPr="00DA27B5" w:rsidRDefault="00205252"/>
        </w:tc>
        <w:tc>
          <w:tcPr>
            <w:tcW w:w="1297" w:type="dxa"/>
          </w:tcPr>
          <w:p w:rsidR="00205252" w:rsidRPr="00DA27B5" w:rsidRDefault="00205252">
            <w:r w:rsidRPr="00DA27B5">
              <w:t>7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205252" w:rsidP="0083148B">
            <w:pPr>
              <w:ind w:left="735"/>
            </w:pPr>
            <w:r w:rsidRPr="00DA27B5">
              <w:rPr>
                <w:rFonts w:cs="Arial"/>
              </w:rPr>
              <w:t>≥</w:t>
            </w:r>
            <w:r w:rsidRPr="00DA27B5">
              <w:t>4</w:t>
            </w:r>
          </w:p>
        </w:tc>
        <w:tc>
          <w:tcPr>
            <w:tcW w:w="749" w:type="dxa"/>
          </w:tcPr>
          <w:p w:rsidR="00205252" w:rsidRPr="00DA27B5" w:rsidRDefault="00205252"/>
        </w:tc>
        <w:tc>
          <w:tcPr>
            <w:tcW w:w="1297" w:type="dxa"/>
          </w:tcPr>
          <w:p w:rsidR="00205252" w:rsidRPr="00DA27B5" w:rsidRDefault="00205252">
            <w:r w:rsidRPr="00DA27B5">
              <w:t>1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594175" w:rsidP="00CF086F">
            <w:pPr>
              <w:jc w:val="left"/>
            </w:pPr>
            <w:r w:rsidRPr="00DA27B5">
              <w:t>Cirugía previa</w:t>
            </w:r>
            <w:r w:rsidR="00205252" w:rsidRPr="00DA27B5">
              <w:t>: histerectomía</w:t>
            </w:r>
          </w:p>
        </w:tc>
        <w:tc>
          <w:tcPr>
            <w:tcW w:w="749" w:type="dxa"/>
          </w:tcPr>
          <w:p w:rsidR="00205252" w:rsidRPr="00DA27B5" w:rsidRDefault="00205252" w:rsidP="008A25C9"/>
        </w:tc>
        <w:tc>
          <w:tcPr>
            <w:tcW w:w="1297" w:type="dxa"/>
          </w:tcPr>
          <w:p w:rsidR="00205252" w:rsidRPr="00DA27B5" w:rsidRDefault="00205252" w:rsidP="008A25C9">
            <w:r w:rsidRPr="00DA27B5">
              <w:t>6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205252" w:rsidP="002E7167">
            <w:pPr>
              <w:ind w:left="1585"/>
              <w:jc w:val="left"/>
            </w:pPr>
            <w:r w:rsidRPr="00DA27B5">
              <w:t>Colporrafia</w:t>
            </w:r>
          </w:p>
        </w:tc>
        <w:tc>
          <w:tcPr>
            <w:tcW w:w="749" w:type="dxa"/>
          </w:tcPr>
          <w:p w:rsidR="00205252" w:rsidRPr="00DA27B5" w:rsidRDefault="00205252" w:rsidP="008A25C9"/>
        </w:tc>
        <w:tc>
          <w:tcPr>
            <w:tcW w:w="1297" w:type="dxa"/>
          </w:tcPr>
          <w:p w:rsidR="00205252" w:rsidRPr="00DA27B5" w:rsidRDefault="00205252" w:rsidP="008A25C9">
            <w:r w:rsidRPr="00DA27B5">
              <w:t>7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205252" w:rsidP="002E7167">
            <w:pPr>
              <w:ind w:left="1585"/>
            </w:pPr>
            <w:r w:rsidRPr="00DA27B5">
              <w:t>Otras</w:t>
            </w:r>
          </w:p>
        </w:tc>
        <w:tc>
          <w:tcPr>
            <w:tcW w:w="749" w:type="dxa"/>
          </w:tcPr>
          <w:p w:rsidR="00205252" w:rsidRPr="00DA27B5" w:rsidRDefault="00205252" w:rsidP="008A25C9"/>
        </w:tc>
        <w:tc>
          <w:tcPr>
            <w:tcW w:w="1297" w:type="dxa"/>
          </w:tcPr>
          <w:p w:rsidR="00205252" w:rsidRPr="00DA27B5" w:rsidRDefault="00205252" w:rsidP="008A25C9">
            <w:r w:rsidRPr="00DA27B5">
              <w:t>-</w:t>
            </w:r>
          </w:p>
        </w:tc>
      </w:tr>
      <w:tr w:rsidR="00205252" w:rsidRPr="00DA27B5" w:rsidTr="00B72EB7">
        <w:tc>
          <w:tcPr>
            <w:tcW w:w="3961" w:type="dxa"/>
          </w:tcPr>
          <w:p w:rsidR="00205252" w:rsidRPr="00DA27B5" w:rsidRDefault="00B72EB7" w:rsidP="002356B1">
            <w:r w:rsidRPr="00DA27B5">
              <w:t xml:space="preserve">Síntomas </w:t>
            </w:r>
            <w:r w:rsidR="002356B1" w:rsidRPr="00DA27B5">
              <w:t>climatéricos</w:t>
            </w:r>
          </w:p>
        </w:tc>
        <w:tc>
          <w:tcPr>
            <w:tcW w:w="749" w:type="dxa"/>
          </w:tcPr>
          <w:p w:rsidR="00205252" w:rsidRPr="00DA27B5" w:rsidRDefault="00205252" w:rsidP="008A25C9"/>
        </w:tc>
        <w:tc>
          <w:tcPr>
            <w:tcW w:w="1297" w:type="dxa"/>
          </w:tcPr>
          <w:p w:rsidR="00205252" w:rsidRPr="00DA27B5" w:rsidRDefault="00205252" w:rsidP="008A25C9">
            <w:r w:rsidRPr="00DA27B5">
              <w:t>4</w:t>
            </w:r>
          </w:p>
        </w:tc>
      </w:tr>
    </w:tbl>
    <w:p w:rsidR="00E8647E" w:rsidRPr="00DA27B5" w:rsidRDefault="00E8647E" w:rsidP="00333AFE"/>
    <w:p w:rsidR="008D3F99" w:rsidRPr="00DA27B5" w:rsidRDefault="008D3F99" w:rsidP="00333AFE"/>
    <w:p w:rsidR="00071742" w:rsidRPr="00DA27B5" w:rsidRDefault="00E8647E" w:rsidP="00333AFE">
      <w:pPr>
        <w:rPr>
          <w:rFonts w:cs="Arial"/>
        </w:rPr>
      </w:pPr>
      <w:r w:rsidRPr="00DA27B5">
        <w:t xml:space="preserve">Tras </w:t>
      </w:r>
      <w:r w:rsidR="00525282" w:rsidRPr="00DA27B5">
        <w:t xml:space="preserve">fijar con el espéculo la pared vaginal anterior </w:t>
      </w:r>
      <w:r w:rsidR="007E287A" w:rsidRPr="00DA27B5">
        <w:t xml:space="preserve">y desinfectar </w:t>
      </w:r>
      <w:r w:rsidR="00FD786C" w:rsidRPr="00DA27B5">
        <w:t>la misma inyectamos</w:t>
      </w:r>
      <w:r w:rsidR="00867BD8" w:rsidRPr="00DA27B5">
        <w:t xml:space="preserve"> a cada lado a izquierda y derecha 2,5 ml de solución de lidocaína al 1% con Kollidon para retrasar la reabsorción (Xyloneural</w:t>
      </w:r>
      <w:r w:rsidR="00867BD8" w:rsidRPr="00DA27B5">
        <w:rPr>
          <w:rFonts w:cs="Arial"/>
          <w:vertAlign w:val="superscript"/>
        </w:rPr>
        <w:t>®</w:t>
      </w:r>
      <w:r w:rsidR="00867BD8" w:rsidRPr="00DA27B5">
        <w:rPr>
          <w:rFonts w:cs="Arial"/>
        </w:rPr>
        <w:t>, Gebro, Fieberbrunn)</w:t>
      </w:r>
      <w:r w:rsidR="00FD786C" w:rsidRPr="00DA27B5">
        <w:t xml:space="preserve"> </w:t>
      </w:r>
      <w:r w:rsidR="0043575B" w:rsidRPr="00DA27B5">
        <w:t>parauretral</w:t>
      </w:r>
      <w:r w:rsidR="00DA4C99" w:rsidRPr="00DA27B5">
        <w:t>mente</w:t>
      </w:r>
      <w:r w:rsidR="0043575B" w:rsidRPr="00DA27B5">
        <w:t xml:space="preserve"> en abanico</w:t>
      </w:r>
      <w:r w:rsidR="00FD786C" w:rsidRPr="00DA27B5">
        <w:t xml:space="preserve"> </w:t>
      </w:r>
      <w:r w:rsidR="0043575B" w:rsidRPr="00DA27B5">
        <w:t>hacia</w:t>
      </w:r>
      <w:r w:rsidR="00FD786C" w:rsidRPr="00DA27B5">
        <w:t xml:space="preserve"> la región de transición vesicouretral</w:t>
      </w:r>
      <w:r w:rsidR="00FD786C" w:rsidRPr="00DA27B5">
        <w:rPr>
          <w:rFonts w:cs="Arial"/>
        </w:rPr>
        <w:t>.</w:t>
      </w:r>
      <w:r w:rsidR="00BB4BDD" w:rsidRPr="00DA27B5">
        <w:rPr>
          <w:rFonts w:cs="Arial"/>
        </w:rPr>
        <w:t xml:space="preserve"> La inyección no es dolorosa para la paciente. </w:t>
      </w:r>
      <w:r w:rsidR="000B7AD2" w:rsidRPr="00DA27B5">
        <w:rPr>
          <w:rFonts w:cs="Arial"/>
        </w:rPr>
        <w:t xml:space="preserve">A continuación </w:t>
      </w:r>
      <w:r w:rsidR="00364A61" w:rsidRPr="00DA27B5">
        <w:rPr>
          <w:rFonts w:cs="Arial"/>
        </w:rPr>
        <w:t>introdujimos</w:t>
      </w:r>
      <w:r w:rsidR="000B7AD2" w:rsidRPr="00DA27B5">
        <w:rPr>
          <w:rFonts w:cs="Arial"/>
        </w:rPr>
        <w:t xml:space="preserve"> en el tercio externo de la </w:t>
      </w:r>
      <w:r w:rsidR="00364A61" w:rsidRPr="00DA27B5">
        <w:rPr>
          <w:rFonts w:cs="Arial"/>
        </w:rPr>
        <w:t>vagina</w:t>
      </w:r>
      <w:r w:rsidR="000B7AD2" w:rsidRPr="00DA27B5">
        <w:rPr>
          <w:rFonts w:cs="Arial"/>
        </w:rPr>
        <w:t xml:space="preserve"> un tampón para</w:t>
      </w:r>
      <w:r w:rsidR="00AD04ED" w:rsidRPr="00DA27B5">
        <w:rPr>
          <w:rFonts w:cs="Arial"/>
        </w:rPr>
        <w:t xml:space="preserve"> asegurar</w:t>
      </w:r>
      <w:r w:rsidR="000B7AD2" w:rsidRPr="00DA27B5">
        <w:rPr>
          <w:rFonts w:cs="Arial"/>
        </w:rPr>
        <w:t xml:space="preserve"> la </w:t>
      </w:r>
      <w:r w:rsidR="00364A61" w:rsidRPr="00DA27B5">
        <w:rPr>
          <w:rFonts w:cs="Arial"/>
        </w:rPr>
        <w:t xml:space="preserve">hemostasia </w:t>
      </w:r>
      <w:r w:rsidR="001B417A" w:rsidRPr="00DA27B5">
        <w:rPr>
          <w:rFonts w:cs="Arial"/>
        </w:rPr>
        <w:t>y pedimos</w:t>
      </w:r>
      <w:r w:rsidR="001E3D30" w:rsidRPr="00DA27B5">
        <w:rPr>
          <w:rFonts w:cs="Arial"/>
        </w:rPr>
        <w:t xml:space="preserve"> a la paciente</w:t>
      </w:r>
      <w:r w:rsidR="003B4440" w:rsidRPr="00DA27B5">
        <w:rPr>
          <w:rFonts w:cs="Arial"/>
        </w:rPr>
        <w:t xml:space="preserve"> que lo retirase el mismo día.</w:t>
      </w:r>
      <w:r w:rsidR="003335D1" w:rsidRPr="00DA27B5">
        <w:rPr>
          <w:rFonts w:cs="Arial"/>
        </w:rPr>
        <w:t xml:space="preserve"> A la</w:t>
      </w:r>
      <w:r w:rsidR="00071742" w:rsidRPr="00DA27B5">
        <w:rPr>
          <w:rFonts w:cs="Arial"/>
        </w:rPr>
        <w:t xml:space="preserve"> 2</w:t>
      </w:r>
      <w:r w:rsidR="003335D1" w:rsidRPr="00DA27B5">
        <w:rPr>
          <w:rFonts w:cs="Arial"/>
        </w:rPr>
        <w:t>ª y a la</w:t>
      </w:r>
      <w:r w:rsidR="00071742" w:rsidRPr="00DA27B5">
        <w:rPr>
          <w:rFonts w:cs="Arial"/>
        </w:rPr>
        <w:t xml:space="preserve"> 4</w:t>
      </w:r>
      <w:r w:rsidR="003335D1" w:rsidRPr="00DA27B5">
        <w:rPr>
          <w:rFonts w:cs="Arial"/>
        </w:rPr>
        <w:t>ª semana</w:t>
      </w:r>
      <w:r w:rsidR="00071742" w:rsidRPr="00DA27B5">
        <w:rPr>
          <w:rFonts w:cs="Arial"/>
        </w:rPr>
        <w:t xml:space="preserve"> repetimos </w:t>
      </w:r>
      <w:r w:rsidR="00BC7E95" w:rsidRPr="00DA27B5">
        <w:rPr>
          <w:rFonts w:cs="Arial"/>
        </w:rPr>
        <w:t xml:space="preserve">de la misma forma </w:t>
      </w:r>
      <w:r w:rsidR="00071742" w:rsidRPr="00DA27B5">
        <w:rPr>
          <w:rFonts w:cs="Arial"/>
        </w:rPr>
        <w:t>las inyecciones con Xyloneural y preguntamos a la</w:t>
      </w:r>
      <w:r w:rsidR="00FA6186" w:rsidRPr="00DA27B5">
        <w:rPr>
          <w:rFonts w:cs="Arial"/>
        </w:rPr>
        <w:t>s</w:t>
      </w:r>
      <w:r w:rsidR="00071742" w:rsidRPr="00DA27B5">
        <w:rPr>
          <w:rFonts w:cs="Arial"/>
        </w:rPr>
        <w:t xml:space="preserve"> paciente</w:t>
      </w:r>
      <w:r w:rsidR="00FA6186" w:rsidRPr="00DA27B5">
        <w:rPr>
          <w:rFonts w:cs="Arial"/>
        </w:rPr>
        <w:t>s</w:t>
      </w:r>
      <w:r w:rsidR="00071742" w:rsidRPr="00DA27B5">
        <w:rPr>
          <w:rFonts w:cs="Arial"/>
        </w:rPr>
        <w:t xml:space="preserve"> por </w:t>
      </w:r>
      <w:r w:rsidR="003335D1" w:rsidRPr="00DA27B5">
        <w:rPr>
          <w:rFonts w:cs="Arial"/>
        </w:rPr>
        <w:t xml:space="preserve">los posibles </w:t>
      </w:r>
      <w:r w:rsidR="00071742" w:rsidRPr="00DA27B5">
        <w:rPr>
          <w:rFonts w:cs="Arial"/>
        </w:rPr>
        <w:t xml:space="preserve">cambios </w:t>
      </w:r>
      <w:r w:rsidR="00E8778F" w:rsidRPr="00DA27B5">
        <w:rPr>
          <w:rFonts w:cs="Arial"/>
        </w:rPr>
        <w:t>respecto a</w:t>
      </w:r>
      <w:r w:rsidR="00071742" w:rsidRPr="00DA27B5">
        <w:rPr>
          <w:rFonts w:cs="Arial"/>
        </w:rPr>
        <w:t xml:space="preserve"> </w:t>
      </w:r>
      <w:r w:rsidR="003335D1" w:rsidRPr="00DA27B5">
        <w:rPr>
          <w:rFonts w:cs="Arial"/>
        </w:rPr>
        <w:t>los</w:t>
      </w:r>
      <w:r w:rsidR="00071742" w:rsidRPr="00DA27B5">
        <w:rPr>
          <w:rFonts w:cs="Arial"/>
        </w:rPr>
        <w:t xml:space="preserve"> </w:t>
      </w:r>
      <w:r w:rsidR="006C6F39" w:rsidRPr="00DA27B5">
        <w:rPr>
          <w:rFonts w:cs="Arial"/>
        </w:rPr>
        <w:t>síntomas</w:t>
      </w:r>
      <w:r w:rsidR="00071742" w:rsidRPr="00DA27B5">
        <w:rPr>
          <w:rFonts w:cs="Arial"/>
        </w:rPr>
        <w:t>.</w:t>
      </w:r>
      <w:r w:rsidR="004D1BED" w:rsidRPr="00DA27B5">
        <w:rPr>
          <w:rFonts w:cs="Arial"/>
        </w:rPr>
        <w:t xml:space="preserve"> 2 semanas tras la última </w:t>
      </w:r>
      <w:r w:rsidR="00B348E7" w:rsidRPr="00DA27B5">
        <w:rPr>
          <w:rFonts w:cs="Arial"/>
        </w:rPr>
        <w:t>inyección</w:t>
      </w:r>
      <w:r w:rsidR="004D1BED" w:rsidRPr="00DA27B5">
        <w:rPr>
          <w:rFonts w:cs="Arial"/>
        </w:rPr>
        <w:t xml:space="preserve"> </w:t>
      </w:r>
      <w:r w:rsidR="00B348E7" w:rsidRPr="00DA27B5">
        <w:rPr>
          <w:rFonts w:cs="Arial"/>
        </w:rPr>
        <w:t>volvimos a realiz</w:t>
      </w:r>
      <w:r w:rsidR="000E6DC2" w:rsidRPr="00DA27B5">
        <w:rPr>
          <w:rFonts w:cs="Arial"/>
        </w:rPr>
        <w:t>ar l</w:t>
      </w:r>
      <w:r w:rsidR="00B348E7" w:rsidRPr="00DA27B5">
        <w:rPr>
          <w:rFonts w:cs="Arial"/>
        </w:rPr>
        <w:t xml:space="preserve">a </w:t>
      </w:r>
      <w:r w:rsidR="005941F7" w:rsidRPr="00DA27B5">
        <w:rPr>
          <w:rFonts w:cs="Arial"/>
        </w:rPr>
        <w:t>exploración</w:t>
      </w:r>
      <w:r w:rsidR="00B348E7" w:rsidRPr="00DA27B5">
        <w:rPr>
          <w:rFonts w:cs="Arial"/>
        </w:rPr>
        <w:t xml:space="preserve"> urodinámica.</w:t>
      </w:r>
    </w:p>
    <w:p w:rsidR="0062239F" w:rsidRPr="00DA27B5" w:rsidRDefault="0062239F" w:rsidP="00333AFE">
      <w:pPr>
        <w:rPr>
          <w:rFonts w:cs="Arial"/>
        </w:rPr>
      </w:pPr>
      <w:r w:rsidRPr="00DA27B5">
        <w:rPr>
          <w:rFonts w:cs="Arial"/>
        </w:rPr>
        <w:t>Las indicaciones de la</w:t>
      </w:r>
      <w:r w:rsidR="00606347" w:rsidRPr="00DA27B5">
        <w:rPr>
          <w:rFonts w:cs="Arial"/>
        </w:rPr>
        <w:t>s</w:t>
      </w:r>
      <w:r w:rsidRPr="00DA27B5">
        <w:rPr>
          <w:rFonts w:cs="Arial"/>
        </w:rPr>
        <w:t xml:space="preserve"> paciente</w:t>
      </w:r>
      <w:r w:rsidR="00606347" w:rsidRPr="00DA27B5">
        <w:rPr>
          <w:rFonts w:cs="Arial"/>
        </w:rPr>
        <w:t>s</w:t>
      </w:r>
      <w:r w:rsidRPr="00DA27B5">
        <w:rPr>
          <w:rFonts w:cs="Arial"/>
        </w:rPr>
        <w:t xml:space="preserve"> las clasificamos de</w:t>
      </w:r>
      <w:r w:rsidR="003C6FE9" w:rsidRPr="00DA27B5">
        <w:rPr>
          <w:rFonts w:cs="Arial"/>
        </w:rPr>
        <w:t>sde</w:t>
      </w:r>
      <w:r w:rsidRPr="00DA27B5">
        <w:rPr>
          <w:rFonts w:cs="Arial"/>
        </w:rPr>
        <w:t xml:space="preserve"> (-) empeoramiento hasta (+++) asintomática.</w:t>
      </w:r>
    </w:p>
    <w:p w:rsidR="00FE1676" w:rsidRPr="00DA27B5" w:rsidRDefault="00FE1676" w:rsidP="00333AFE">
      <w:pPr>
        <w:rPr>
          <w:rFonts w:cs="Arial"/>
        </w:rPr>
      </w:pPr>
    </w:p>
    <w:p w:rsidR="00FE1676" w:rsidRPr="00DA27B5" w:rsidRDefault="00FE1676" w:rsidP="00333AFE">
      <w:pPr>
        <w:rPr>
          <w:rFonts w:cs="Arial"/>
          <w:b/>
          <w:sz w:val="28"/>
          <w:szCs w:val="28"/>
        </w:rPr>
      </w:pPr>
      <w:r w:rsidRPr="00DA27B5">
        <w:rPr>
          <w:rFonts w:cs="Arial"/>
          <w:b/>
          <w:sz w:val="28"/>
          <w:szCs w:val="28"/>
        </w:rPr>
        <w:t>Resultados</w:t>
      </w:r>
    </w:p>
    <w:p w:rsidR="00CC30AA" w:rsidRPr="00DA27B5" w:rsidRDefault="00CC30AA" w:rsidP="00333AFE">
      <w:pPr>
        <w:rPr>
          <w:rFonts w:cs="Arial"/>
        </w:rPr>
      </w:pPr>
    </w:p>
    <w:p w:rsidR="004A6744" w:rsidRPr="00DA27B5" w:rsidRDefault="00AC4450" w:rsidP="00333AFE">
      <w:pPr>
        <w:rPr>
          <w:rFonts w:cs="Arial"/>
        </w:rPr>
      </w:pPr>
      <w:r w:rsidRPr="00DA27B5">
        <w:rPr>
          <w:rFonts w:cs="Arial"/>
        </w:rPr>
        <w:t>N</w:t>
      </w:r>
      <w:r w:rsidR="008B6647" w:rsidRPr="00DA27B5">
        <w:rPr>
          <w:rFonts w:cs="Arial"/>
        </w:rPr>
        <w:t xml:space="preserve">inguna de las pacientes </w:t>
      </w:r>
      <w:r w:rsidRPr="00DA27B5">
        <w:rPr>
          <w:rFonts w:cs="Arial"/>
        </w:rPr>
        <w:t>sometidas a</w:t>
      </w:r>
      <w:r w:rsidR="008B6647" w:rsidRPr="00DA27B5">
        <w:rPr>
          <w:rFonts w:cs="Arial"/>
        </w:rPr>
        <w:t xml:space="preserve"> terapia neural </w:t>
      </w:r>
      <w:r w:rsidRPr="00DA27B5">
        <w:rPr>
          <w:rFonts w:cs="Arial"/>
        </w:rPr>
        <w:t>presentó</w:t>
      </w:r>
      <w:r w:rsidR="008B6647" w:rsidRPr="00DA27B5">
        <w:rPr>
          <w:rFonts w:cs="Arial"/>
        </w:rPr>
        <w:t xml:space="preserve"> empeoramiento (</w:t>
      </w:r>
      <w:r w:rsidR="00F83EF0" w:rsidRPr="00DA27B5">
        <w:rPr>
          <w:rFonts w:cs="Arial"/>
        </w:rPr>
        <w:t>Tabla</w:t>
      </w:r>
      <w:r w:rsidR="008B6647" w:rsidRPr="00DA27B5">
        <w:rPr>
          <w:rFonts w:cs="Arial"/>
        </w:rPr>
        <w:t xml:space="preserve"> 2)</w:t>
      </w:r>
      <w:r w:rsidR="00E25B74" w:rsidRPr="00DA27B5">
        <w:rPr>
          <w:rFonts w:cs="Arial"/>
        </w:rPr>
        <w:t xml:space="preserve">. 2 semanas tras la primera inyección 4 de 10 mujeres </w:t>
      </w:r>
      <w:r w:rsidR="003B5B50" w:rsidRPr="00DA27B5">
        <w:rPr>
          <w:rFonts w:cs="Arial"/>
        </w:rPr>
        <w:t>reportaron</w:t>
      </w:r>
      <w:r w:rsidR="00E25B74" w:rsidRPr="00DA27B5">
        <w:rPr>
          <w:rFonts w:cs="Arial"/>
        </w:rPr>
        <w:t xml:space="preserve"> </w:t>
      </w:r>
      <w:r w:rsidR="003B5B50" w:rsidRPr="00DA27B5">
        <w:rPr>
          <w:rFonts w:cs="Arial"/>
        </w:rPr>
        <w:t>ya</w:t>
      </w:r>
      <w:r w:rsidR="00E25B74" w:rsidRPr="00DA27B5">
        <w:rPr>
          <w:rFonts w:cs="Arial"/>
        </w:rPr>
        <w:t xml:space="preserve"> una </w:t>
      </w:r>
      <w:r w:rsidR="00C17848" w:rsidRPr="00DA27B5">
        <w:rPr>
          <w:rFonts w:cs="Arial"/>
        </w:rPr>
        <w:t>ostensible</w:t>
      </w:r>
      <w:r w:rsidR="003B5B50" w:rsidRPr="00DA27B5">
        <w:rPr>
          <w:rFonts w:cs="Arial"/>
        </w:rPr>
        <w:t xml:space="preserve"> </w:t>
      </w:r>
      <w:r w:rsidR="00E25B74" w:rsidRPr="00DA27B5">
        <w:rPr>
          <w:rFonts w:cs="Arial"/>
        </w:rPr>
        <w:t>mejor</w:t>
      </w:r>
      <w:r w:rsidR="003B5B50" w:rsidRPr="00DA27B5">
        <w:rPr>
          <w:rFonts w:cs="Arial"/>
        </w:rPr>
        <w:t>í</w:t>
      </w:r>
      <w:r w:rsidR="00E25B74" w:rsidRPr="00DA27B5">
        <w:rPr>
          <w:rFonts w:cs="Arial"/>
        </w:rPr>
        <w:t>a.</w:t>
      </w:r>
      <w:r w:rsidR="002C2B27" w:rsidRPr="00DA27B5">
        <w:rPr>
          <w:rFonts w:cs="Arial"/>
        </w:rPr>
        <w:t xml:space="preserve"> 4 mujeres no observaron ningún cambio </w:t>
      </w:r>
      <w:r w:rsidR="003D52B6" w:rsidRPr="00DA27B5">
        <w:rPr>
          <w:rFonts w:cs="Arial"/>
        </w:rPr>
        <w:t>en su</w:t>
      </w:r>
      <w:r w:rsidR="002C2B27" w:rsidRPr="00DA27B5">
        <w:rPr>
          <w:rFonts w:cs="Arial"/>
        </w:rPr>
        <w:t xml:space="preserve"> </w:t>
      </w:r>
      <w:r w:rsidR="003D52B6" w:rsidRPr="00DA27B5">
        <w:rPr>
          <w:rFonts w:cs="Arial"/>
        </w:rPr>
        <w:t>sintomatología</w:t>
      </w:r>
      <w:r w:rsidR="002C2B27" w:rsidRPr="00DA27B5">
        <w:rPr>
          <w:rFonts w:cs="Arial"/>
        </w:rPr>
        <w:t>.</w:t>
      </w:r>
      <w:r w:rsidR="00B6793C" w:rsidRPr="00DA27B5">
        <w:rPr>
          <w:rFonts w:cs="Arial"/>
        </w:rPr>
        <w:t xml:space="preserve"> 2 semanas tras </w:t>
      </w:r>
      <w:r w:rsidR="003D52B6" w:rsidRPr="00DA27B5">
        <w:rPr>
          <w:rFonts w:cs="Arial"/>
        </w:rPr>
        <w:t>finalizar</w:t>
      </w:r>
      <w:r w:rsidR="00AC4ECE" w:rsidRPr="00DA27B5">
        <w:rPr>
          <w:rFonts w:cs="Arial"/>
        </w:rPr>
        <w:t xml:space="preserve"> </w:t>
      </w:r>
      <w:r w:rsidR="00B6793C" w:rsidRPr="00DA27B5">
        <w:rPr>
          <w:rFonts w:cs="Arial"/>
        </w:rPr>
        <w:t>el tratamiento – o sea, tras la 3</w:t>
      </w:r>
      <w:r w:rsidR="007238C1" w:rsidRPr="00DA27B5">
        <w:rPr>
          <w:rFonts w:cs="Arial"/>
        </w:rPr>
        <w:t>ª</w:t>
      </w:r>
      <w:r w:rsidR="00B6793C" w:rsidRPr="00DA27B5">
        <w:rPr>
          <w:rFonts w:cs="Arial"/>
        </w:rPr>
        <w:t xml:space="preserve"> inyección – el resultado fue </w:t>
      </w:r>
      <w:r w:rsidR="00512544" w:rsidRPr="00DA27B5">
        <w:rPr>
          <w:rFonts w:cs="Arial"/>
        </w:rPr>
        <w:t>incluso mejor</w:t>
      </w:r>
      <w:r w:rsidR="00D153D9" w:rsidRPr="00DA27B5">
        <w:rPr>
          <w:rFonts w:cs="Arial"/>
        </w:rPr>
        <w:t>:</w:t>
      </w:r>
      <w:r w:rsidR="00E11AD0" w:rsidRPr="00DA27B5">
        <w:rPr>
          <w:rFonts w:cs="Arial"/>
        </w:rPr>
        <w:t xml:space="preserve"> </w:t>
      </w:r>
      <w:r w:rsidR="001A76E3" w:rsidRPr="00DA27B5">
        <w:rPr>
          <w:rFonts w:cs="Arial"/>
        </w:rPr>
        <w:t xml:space="preserve">respecto a la sintomatología de la vejiga irritable </w:t>
      </w:r>
      <w:r w:rsidR="00E11AD0" w:rsidRPr="00DA27B5">
        <w:rPr>
          <w:rFonts w:cs="Arial"/>
        </w:rPr>
        <w:t xml:space="preserve">3/10 mujeres estaban asintomáticas, 6/10 mujeres </w:t>
      </w:r>
      <w:r w:rsidR="00C17848" w:rsidRPr="00DA27B5">
        <w:rPr>
          <w:rFonts w:cs="Arial"/>
        </w:rPr>
        <w:t>reportaron</w:t>
      </w:r>
      <w:r w:rsidR="00D24EBC" w:rsidRPr="00DA27B5">
        <w:rPr>
          <w:rFonts w:cs="Arial"/>
        </w:rPr>
        <w:t xml:space="preserve"> una </w:t>
      </w:r>
      <w:r w:rsidR="00C17848" w:rsidRPr="00DA27B5">
        <w:rPr>
          <w:rFonts w:cs="Arial"/>
        </w:rPr>
        <w:t xml:space="preserve">ostensible </w:t>
      </w:r>
      <w:r w:rsidR="00D24EBC" w:rsidRPr="00DA27B5">
        <w:rPr>
          <w:rFonts w:cs="Arial"/>
        </w:rPr>
        <w:t xml:space="preserve">mejoría y una mujer </w:t>
      </w:r>
      <w:r w:rsidR="00B005A8" w:rsidRPr="00DA27B5">
        <w:rPr>
          <w:rFonts w:cs="Arial"/>
        </w:rPr>
        <w:t xml:space="preserve">reportó </w:t>
      </w:r>
      <w:r w:rsidR="00D24EBC" w:rsidRPr="00DA27B5">
        <w:rPr>
          <w:rFonts w:cs="Arial"/>
        </w:rPr>
        <w:t>una ligera mejoría.</w:t>
      </w:r>
    </w:p>
    <w:p w:rsidR="004A6744" w:rsidRPr="00DA27B5" w:rsidRDefault="007A0A4B" w:rsidP="00333AFE">
      <w:pPr>
        <w:rPr>
          <w:rFonts w:cs="Arial"/>
        </w:rPr>
      </w:pPr>
      <w:r w:rsidRPr="00DA27B5">
        <w:rPr>
          <w:rFonts w:cs="Arial"/>
        </w:rPr>
        <w:t xml:space="preserve">Esta mejoría </w:t>
      </w:r>
      <w:r w:rsidR="0090486C" w:rsidRPr="00DA27B5">
        <w:rPr>
          <w:rFonts w:cs="Arial"/>
        </w:rPr>
        <w:t xml:space="preserve">quedó, </w:t>
      </w:r>
      <w:r w:rsidRPr="00DA27B5">
        <w:rPr>
          <w:rFonts w:cs="Arial"/>
        </w:rPr>
        <w:t>sin embargo</w:t>
      </w:r>
      <w:r w:rsidR="00C4318E" w:rsidRPr="00DA27B5">
        <w:rPr>
          <w:rFonts w:cs="Arial"/>
        </w:rPr>
        <w:t>,</w:t>
      </w:r>
      <w:r w:rsidRPr="00DA27B5">
        <w:rPr>
          <w:rFonts w:cs="Arial"/>
        </w:rPr>
        <w:t xml:space="preserve"> </w:t>
      </w:r>
      <w:r w:rsidR="00144021" w:rsidRPr="00DA27B5">
        <w:rPr>
          <w:rFonts w:cs="Arial"/>
        </w:rPr>
        <w:t>só</w:t>
      </w:r>
      <w:r w:rsidR="0099062B" w:rsidRPr="00DA27B5">
        <w:rPr>
          <w:rFonts w:cs="Arial"/>
        </w:rPr>
        <w:t>lo</w:t>
      </w:r>
      <w:r w:rsidRPr="00DA27B5">
        <w:rPr>
          <w:rFonts w:cs="Arial"/>
        </w:rPr>
        <w:t xml:space="preserve"> </w:t>
      </w:r>
      <w:r w:rsidR="0090486C" w:rsidRPr="00DA27B5">
        <w:rPr>
          <w:rFonts w:cs="Arial"/>
        </w:rPr>
        <w:t xml:space="preserve">reflejada </w:t>
      </w:r>
      <w:r w:rsidRPr="00DA27B5">
        <w:rPr>
          <w:rFonts w:cs="Arial"/>
        </w:rPr>
        <w:t xml:space="preserve">parcialmente en </w:t>
      </w:r>
      <w:r w:rsidR="001338B8" w:rsidRPr="00DA27B5">
        <w:rPr>
          <w:rFonts w:cs="Arial"/>
        </w:rPr>
        <w:t xml:space="preserve">los </w:t>
      </w:r>
      <w:r w:rsidR="00144021" w:rsidRPr="00DA27B5">
        <w:rPr>
          <w:rFonts w:cs="Arial"/>
        </w:rPr>
        <w:t>resultados</w:t>
      </w:r>
      <w:r w:rsidR="001338B8" w:rsidRPr="00DA27B5">
        <w:rPr>
          <w:rFonts w:cs="Arial"/>
        </w:rPr>
        <w:t xml:space="preserve"> </w:t>
      </w:r>
      <w:r w:rsidR="00805BE3" w:rsidRPr="00DA27B5">
        <w:rPr>
          <w:rFonts w:cs="Arial"/>
        </w:rPr>
        <w:t>urodinámicos (</w:t>
      </w:r>
      <w:r w:rsidR="00144021" w:rsidRPr="00DA27B5">
        <w:rPr>
          <w:rFonts w:cs="Arial"/>
        </w:rPr>
        <w:t>Tabla</w:t>
      </w:r>
      <w:r w:rsidR="00805BE3" w:rsidRPr="00DA27B5">
        <w:rPr>
          <w:rFonts w:cs="Arial"/>
        </w:rPr>
        <w:t xml:space="preserve"> 3).</w:t>
      </w:r>
      <w:r w:rsidR="002120B7" w:rsidRPr="00DA27B5">
        <w:rPr>
          <w:rFonts w:cs="Arial"/>
        </w:rPr>
        <w:t xml:space="preserve"> En 3/10 mujeres </w:t>
      </w:r>
      <w:r w:rsidR="000079C4" w:rsidRPr="00DA27B5">
        <w:rPr>
          <w:rFonts w:cs="Arial"/>
        </w:rPr>
        <w:t xml:space="preserve">se observaron </w:t>
      </w:r>
      <w:r w:rsidR="002120B7" w:rsidRPr="00DA27B5">
        <w:rPr>
          <w:rFonts w:cs="Arial"/>
        </w:rPr>
        <w:t xml:space="preserve">en la </w:t>
      </w:r>
      <w:r w:rsidR="008A25C9" w:rsidRPr="00DA27B5">
        <w:rPr>
          <w:rFonts w:cs="Arial"/>
        </w:rPr>
        <w:t>exploración inicial</w:t>
      </w:r>
      <w:r w:rsidR="002120B7" w:rsidRPr="00DA27B5">
        <w:rPr>
          <w:rFonts w:cs="Arial"/>
        </w:rPr>
        <w:t xml:space="preserve"> contracciones </w:t>
      </w:r>
      <w:r w:rsidR="008A25C9" w:rsidRPr="00DA27B5">
        <w:rPr>
          <w:rFonts w:cs="Arial"/>
        </w:rPr>
        <w:t xml:space="preserve">no </w:t>
      </w:r>
      <w:r w:rsidR="00D06F8E" w:rsidRPr="00DA27B5">
        <w:rPr>
          <w:rFonts w:cs="Arial"/>
        </w:rPr>
        <w:t>inhibidas</w:t>
      </w:r>
      <w:r w:rsidR="00887DE3" w:rsidRPr="00DA27B5">
        <w:rPr>
          <w:rFonts w:cs="Arial"/>
        </w:rPr>
        <w:t xml:space="preserve"> </w:t>
      </w:r>
      <w:r w:rsidR="002120B7" w:rsidRPr="00DA27B5">
        <w:rPr>
          <w:rFonts w:cs="Arial"/>
        </w:rPr>
        <w:t xml:space="preserve">del detrusor </w:t>
      </w:r>
      <w:r w:rsidR="00887DE3" w:rsidRPr="00DA27B5">
        <w:rPr>
          <w:rFonts w:cs="Arial"/>
        </w:rPr>
        <w:t>(</w:t>
      </w:r>
      <w:r w:rsidR="00D06F8E" w:rsidRPr="00DA27B5">
        <w:rPr>
          <w:rFonts w:cs="Arial"/>
        </w:rPr>
        <w:t>hiperactividad</w:t>
      </w:r>
      <w:r w:rsidR="006F5E54" w:rsidRPr="00DA27B5">
        <w:rPr>
          <w:rFonts w:cs="Arial"/>
        </w:rPr>
        <w:t>);</w:t>
      </w:r>
      <w:r w:rsidR="00437603" w:rsidRPr="00DA27B5">
        <w:rPr>
          <w:rFonts w:cs="Arial"/>
        </w:rPr>
        <w:t xml:space="preserve"> </w:t>
      </w:r>
      <w:r w:rsidR="000079C4" w:rsidRPr="00DA27B5">
        <w:rPr>
          <w:rFonts w:cs="Arial"/>
        </w:rPr>
        <w:t xml:space="preserve">a las 2 semanas de la última inyección </w:t>
      </w:r>
      <w:r w:rsidR="00437603" w:rsidRPr="00DA27B5">
        <w:rPr>
          <w:rFonts w:cs="Arial"/>
        </w:rPr>
        <w:t>esta</w:t>
      </w:r>
      <w:r w:rsidR="00020B94" w:rsidRPr="00DA27B5">
        <w:rPr>
          <w:rFonts w:cs="Arial"/>
        </w:rPr>
        <w:t>s contracciones del detrusor estaban</w:t>
      </w:r>
      <w:r w:rsidR="000079C4" w:rsidRPr="00DA27B5">
        <w:rPr>
          <w:rFonts w:cs="Arial"/>
        </w:rPr>
        <w:t xml:space="preserve"> presentes en cada una de las 3 mujeres</w:t>
      </w:r>
      <w:r w:rsidR="00437603" w:rsidRPr="00DA27B5">
        <w:rPr>
          <w:rFonts w:cs="Arial"/>
        </w:rPr>
        <w:t xml:space="preserve"> </w:t>
      </w:r>
      <w:r w:rsidR="009A0369" w:rsidRPr="00DA27B5">
        <w:rPr>
          <w:rFonts w:cs="Arial"/>
        </w:rPr>
        <w:t>a pesar de la ostensible mejoría subjetiva (++)</w:t>
      </w:r>
      <w:r w:rsidR="005C65F1" w:rsidRPr="00DA27B5">
        <w:rPr>
          <w:rFonts w:cs="Arial"/>
        </w:rPr>
        <w:t>.</w:t>
      </w:r>
      <w:r w:rsidR="00C5299C" w:rsidRPr="00DA27B5">
        <w:rPr>
          <w:rFonts w:cs="Arial"/>
        </w:rPr>
        <w:t xml:space="preserve"> Los valores de presión vesical </w:t>
      </w:r>
      <w:r w:rsidR="006F5E54" w:rsidRPr="00DA27B5">
        <w:rPr>
          <w:rFonts w:cs="Arial"/>
        </w:rPr>
        <w:t>medios</w:t>
      </w:r>
      <w:r w:rsidR="00094E54" w:rsidRPr="00DA27B5">
        <w:rPr>
          <w:rFonts w:cs="Arial"/>
        </w:rPr>
        <w:t xml:space="preserve">, </w:t>
      </w:r>
      <w:r w:rsidR="00414AD8" w:rsidRPr="00DA27B5">
        <w:rPr>
          <w:rFonts w:cs="Arial"/>
        </w:rPr>
        <w:t xml:space="preserve">la capacidad vesical máxima y la presión uretral </w:t>
      </w:r>
      <w:r w:rsidR="006C2C54" w:rsidRPr="00DA27B5">
        <w:rPr>
          <w:rFonts w:cs="Arial"/>
        </w:rPr>
        <w:t xml:space="preserve">máxima </w:t>
      </w:r>
      <w:r w:rsidR="00F87C9D" w:rsidRPr="00DA27B5">
        <w:rPr>
          <w:rFonts w:cs="Arial"/>
        </w:rPr>
        <w:t>en reposo</w:t>
      </w:r>
      <w:r w:rsidR="00DD3108" w:rsidRPr="00DA27B5">
        <w:rPr>
          <w:rFonts w:cs="Arial"/>
        </w:rPr>
        <w:t xml:space="preserve"> no</w:t>
      </w:r>
      <w:r w:rsidR="00F87C9D" w:rsidRPr="00DA27B5">
        <w:rPr>
          <w:rFonts w:cs="Arial"/>
        </w:rPr>
        <w:t xml:space="preserve"> </w:t>
      </w:r>
      <w:r w:rsidR="00DD3108" w:rsidRPr="00DA27B5">
        <w:rPr>
          <w:rFonts w:cs="Arial"/>
        </w:rPr>
        <w:t>mostraron</w:t>
      </w:r>
      <w:r w:rsidR="00E634A2" w:rsidRPr="00DA27B5">
        <w:rPr>
          <w:rFonts w:cs="Arial"/>
        </w:rPr>
        <w:t xml:space="preserve"> </w:t>
      </w:r>
      <w:r w:rsidR="000C4A15" w:rsidRPr="00DA27B5">
        <w:rPr>
          <w:rFonts w:cs="Arial"/>
        </w:rPr>
        <w:t xml:space="preserve">de promedio </w:t>
      </w:r>
      <w:r w:rsidR="00DD3108" w:rsidRPr="00DA27B5">
        <w:rPr>
          <w:rFonts w:cs="Arial"/>
        </w:rPr>
        <w:t xml:space="preserve">ninguna diferencia significativa </w:t>
      </w:r>
      <w:r w:rsidR="00E634A2" w:rsidRPr="00DA27B5">
        <w:rPr>
          <w:rFonts w:cs="Arial"/>
        </w:rPr>
        <w:t xml:space="preserve">antes y después de la terapia neural </w:t>
      </w:r>
      <w:r w:rsidR="00496759" w:rsidRPr="00DA27B5">
        <w:rPr>
          <w:rFonts w:cs="Arial"/>
        </w:rPr>
        <w:t>(</w:t>
      </w:r>
      <w:r w:rsidR="00496759" w:rsidRPr="00DA27B5">
        <w:rPr>
          <w:rFonts w:cs="Arial"/>
          <w:i/>
        </w:rPr>
        <w:t>Wilcoxon</w:t>
      </w:r>
      <w:r w:rsidR="00496759" w:rsidRPr="00DA27B5">
        <w:rPr>
          <w:rFonts w:cs="Arial"/>
        </w:rPr>
        <w:t xml:space="preserve"> signed Rank test). </w:t>
      </w:r>
      <w:r w:rsidR="009A1F17" w:rsidRPr="00DA27B5">
        <w:rPr>
          <w:rFonts w:cs="Arial"/>
        </w:rPr>
        <w:t>Sin embargo, tras la terapia neural e</w:t>
      </w:r>
      <w:r w:rsidR="00F144E0" w:rsidRPr="00DA27B5">
        <w:rPr>
          <w:rFonts w:cs="Arial"/>
        </w:rPr>
        <w:t xml:space="preserve">l volumen vesical </w:t>
      </w:r>
      <w:r w:rsidR="00DD3108" w:rsidRPr="00DA27B5">
        <w:rPr>
          <w:rFonts w:cs="Arial"/>
        </w:rPr>
        <w:t>medio</w:t>
      </w:r>
      <w:r w:rsidR="00F144E0" w:rsidRPr="00DA27B5">
        <w:rPr>
          <w:rFonts w:cs="Arial"/>
        </w:rPr>
        <w:t xml:space="preserve"> con el primer </w:t>
      </w:r>
      <w:r w:rsidR="00DD3108" w:rsidRPr="00DA27B5">
        <w:rPr>
          <w:rFonts w:cs="Arial"/>
        </w:rPr>
        <w:t xml:space="preserve">deseo </w:t>
      </w:r>
      <w:r w:rsidR="00DD3108" w:rsidRPr="00DA27B5">
        <w:rPr>
          <w:rFonts w:cs="Arial"/>
        </w:rPr>
        <w:lastRenderedPageBreak/>
        <w:t>miccional</w:t>
      </w:r>
      <w:r w:rsidR="00F144E0" w:rsidRPr="00DA27B5">
        <w:rPr>
          <w:rFonts w:cs="Arial"/>
        </w:rPr>
        <w:t xml:space="preserve"> era significativamente mayor </w:t>
      </w:r>
      <w:r w:rsidR="0064797E" w:rsidRPr="00DA27B5">
        <w:rPr>
          <w:rFonts w:cs="Arial"/>
        </w:rPr>
        <w:t>respecto</w:t>
      </w:r>
      <w:r w:rsidR="00F144E0" w:rsidRPr="00DA27B5">
        <w:rPr>
          <w:rFonts w:cs="Arial"/>
        </w:rPr>
        <w:t xml:space="preserve"> a los valores iniciales (</w:t>
      </w:r>
      <w:r w:rsidR="00F144E0" w:rsidRPr="00DA27B5">
        <w:rPr>
          <w:rFonts w:cs="Arial"/>
          <w:i/>
        </w:rPr>
        <w:t>Wilcoxon</w:t>
      </w:r>
      <w:r w:rsidR="00F144E0" w:rsidRPr="00DA27B5">
        <w:rPr>
          <w:rFonts w:cs="Arial"/>
        </w:rPr>
        <w:t xml:space="preserve"> signed Rank test, p = 0,02).</w:t>
      </w:r>
    </w:p>
    <w:p w:rsidR="00F56D14" w:rsidRPr="00DA27B5" w:rsidRDefault="00F56D14" w:rsidP="00333AFE">
      <w:pPr>
        <w:rPr>
          <w:rFonts w:cs="Arial"/>
        </w:rPr>
      </w:pPr>
    </w:p>
    <w:p w:rsidR="00F56D14" w:rsidRPr="00DA27B5" w:rsidRDefault="00F56D14" w:rsidP="00333AFE">
      <w:pPr>
        <w:rPr>
          <w:rFonts w:cs="Arial"/>
          <w:b/>
          <w:sz w:val="28"/>
          <w:szCs w:val="28"/>
        </w:rPr>
      </w:pPr>
      <w:r w:rsidRPr="00DA27B5">
        <w:rPr>
          <w:rFonts w:cs="Arial"/>
          <w:b/>
          <w:sz w:val="28"/>
          <w:szCs w:val="28"/>
        </w:rPr>
        <w:t>Discusión</w:t>
      </w:r>
    </w:p>
    <w:p w:rsidR="00F56D14" w:rsidRPr="00DA27B5" w:rsidRDefault="00F56D14" w:rsidP="00333AFE">
      <w:pPr>
        <w:rPr>
          <w:rFonts w:cs="Arial"/>
          <w:b/>
        </w:rPr>
      </w:pPr>
    </w:p>
    <w:p w:rsidR="00F56D14" w:rsidRPr="00DA27B5" w:rsidRDefault="00F56D14" w:rsidP="00333AFE">
      <w:pPr>
        <w:rPr>
          <w:rFonts w:cs="Arial"/>
        </w:rPr>
      </w:pPr>
      <w:r w:rsidRPr="00DA27B5">
        <w:rPr>
          <w:rFonts w:cs="Arial"/>
        </w:rPr>
        <w:t xml:space="preserve">La </w:t>
      </w:r>
      <w:r w:rsidR="000617DA" w:rsidRPr="00DA27B5">
        <w:rPr>
          <w:rFonts w:cs="Arial"/>
        </w:rPr>
        <w:t>v</w:t>
      </w:r>
      <w:r w:rsidR="0064797E" w:rsidRPr="00DA27B5">
        <w:rPr>
          <w:rFonts w:cs="Arial"/>
        </w:rPr>
        <w:t>ejiga irritable</w:t>
      </w:r>
      <w:r w:rsidRPr="00DA27B5">
        <w:rPr>
          <w:rFonts w:cs="Arial"/>
        </w:rPr>
        <w:t xml:space="preserve"> (con </w:t>
      </w:r>
      <w:r w:rsidR="000617DA" w:rsidRPr="00DA27B5">
        <w:rPr>
          <w:rFonts w:cs="Arial"/>
        </w:rPr>
        <w:t>d</w:t>
      </w:r>
      <w:r w:rsidR="00DD3108" w:rsidRPr="00DA27B5">
        <w:rPr>
          <w:rFonts w:cs="Arial"/>
        </w:rPr>
        <w:t>eseo miccional</w:t>
      </w:r>
      <w:r w:rsidRPr="00DA27B5">
        <w:rPr>
          <w:rFonts w:cs="Arial"/>
        </w:rPr>
        <w:t xml:space="preserve"> </w:t>
      </w:r>
      <w:r w:rsidR="00FF6E90" w:rsidRPr="00DA27B5">
        <w:rPr>
          <w:rFonts w:cs="Arial"/>
        </w:rPr>
        <w:t>aumentado</w:t>
      </w:r>
      <w:r w:rsidRPr="00DA27B5">
        <w:rPr>
          <w:rFonts w:cs="Arial"/>
        </w:rPr>
        <w:t xml:space="preserve"> y </w:t>
      </w:r>
      <w:r w:rsidR="00FF6E90" w:rsidRPr="00DA27B5">
        <w:rPr>
          <w:rFonts w:cs="Arial"/>
        </w:rPr>
        <w:t>prematuro</w:t>
      </w:r>
      <w:r w:rsidRPr="00DA27B5">
        <w:rPr>
          <w:rFonts w:cs="Arial"/>
        </w:rPr>
        <w:t xml:space="preserve">) </w:t>
      </w:r>
      <w:r w:rsidR="008B1A99" w:rsidRPr="00DA27B5">
        <w:rPr>
          <w:rFonts w:cs="Arial"/>
        </w:rPr>
        <w:t xml:space="preserve">y la </w:t>
      </w:r>
      <w:r w:rsidR="005F2486" w:rsidRPr="00DA27B5">
        <w:rPr>
          <w:rFonts w:cs="Arial"/>
        </w:rPr>
        <w:t>vejiga inestable</w:t>
      </w:r>
      <w:r w:rsidR="008B1A99" w:rsidRPr="00DA27B5">
        <w:rPr>
          <w:rFonts w:cs="Arial"/>
        </w:rPr>
        <w:t xml:space="preserve"> </w:t>
      </w:r>
      <w:r w:rsidR="00F052D6" w:rsidRPr="00DA27B5">
        <w:rPr>
          <w:rFonts w:cs="Arial"/>
        </w:rPr>
        <w:t xml:space="preserve">(con la </w:t>
      </w:r>
      <w:r w:rsidR="005F2486" w:rsidRPr="00DA27B5">
        <w:rPr>
          <w:rFonts w:cs="Arial"/>
        </w:rPr>
        <w:t>de ello</w:t>
      </w:r>
      <w:r w:rsidR="00F052D6" w:rsidRPr="00DA27B5">
        <w:rPr>
          <w:rFonts w:cs="Arial"/>
        </w:rPr>
        <w:t xml:space="preserve"> </w:t>
      </w:r>
      <w:r w:rsidR="005F2486" w:rsidRPr="00DA27B5">
        <w:rPr>
          <w:rFonts w:cs="Arial"/>
        </w:rPr>
        <w:t>resultante incontinencia de urgencia</w:t>
      </w:r>
      <w:r w:rsidR="00C81B59" w:rsidRPr="00DA27B5">
        <w:rPr>
          <w:rFonts w:cs="Arial"/>
        </w:rPr>
        <w:t xml:space="preserve">) es para las pacientes afectadas </w:t>
      </w:r>
      <w:r w:rsidR="00A014AC" w:rsidRPr="00DA27B5">
        <w:rPr>
          <w:rFonts w:cs="Arial"/>
        </w:rPr>
        <w:t>un</w:t>
      </w:r>
      <w:r w:rsidR="005632B1" w:rsidRPr="00DA27B5">
        <w:rPr>
          <w:rFonts w:cs="Arial"/>
        </w:rPr>
        <w:t>a</w:t>
      </w:r>
      <w:r w:rsidR="00A014AC" w:rsidRPr="00DA27B5">
        <w:rPr>
          <w:rFonts w:cs="Arial"/>
        </w:rPr>
        <w:t xml:space="preserve"> </w:t>
      </w:r>
      <w:r w:rsidR="005632B1" w:rsidRPr="00DA27B5">
        <w:rPr>
          <w:rFonts w:cs="Arial"/>
        </w:rPr>
        <w:t>dolencia</w:t>
      </w:r>
      <w:r w:rsidR="00A014AC" w:rsidRPr="00DA27B5">
        <w:rPr>
          <w:rFonts w:cs="Arial"/>
        </w:rPr>
        <w:t xml:space="preserve"> </w:t>
      </w:r>
      <w:r w:rsidR="006D712B" w:rsidRPr="00DA27B5">
        <w:rPr>
          <w:rFonts w:cs="Arial"/>
        </w:rPr>
        <w:t>comprometedor</w:t>
      </w:r>
      <w:r w:rsidR="005632B1" w:rsidRPr="00DA27B5">
        <w:rPr>
          <w:rFonts w:cs="Arial"/>
        </w:rPr>
        <w:t>a</w:t>
      </w:r>
      <w:r w:rsidR="00541150" w:rsidRPr="00DA27B5">
        <w:rPr>
          <w:rFonts w:cs="Arial"/>
        </w:rPr>
        <w:t xml:space="preserve"> </w:t>
      </w:r>
      <w:r w:rsidR="006C233F" w:rsidRPr="00DA27B5">
        <w:rPr>
          <w:rFonts w:cs="Arial"/>
        </w:rPr>
        <w:t>de</w:t>
      </w:r>
      <w:r w:rsidR="00541150" w:rsidRPr="00DA27B5">
        <w:rPr>
          <w:rFonts w:cs="Arial"/>
        </w:rPr>
        <w:t xml:space="preserve"> patogenia compleja. </w:t>
      </w:r>
      <w:r w:rsidR="000D599C" w:rsidRPr="00DA27B5">
        <w:rPr>
          <w:rFonts w:cs="Arial"/>
        </w:rPr>
        <w:t>»</w:t>
      </w:r>
      <w:r w:rsidR="006D712B" w:rsidRPr="00DA27B5">
        <w:rPr>
          <w:rFonts w:cs="Arial"/>
        </w:rPr>
        <w:t>El s</w:t>
      </w:r>
      <w:r w:rsidR="000D599C" w:rsidRPr="00DA27B5">
        <w:rPr>
          <w:rFonts w:cs="Arial"/>
        </w:rPr>
        <w:t>índrome uretral«, »</w:t>
      </w:r>
      <w:r w:rsidR="006D712B" w:rsidRPr="00DA27B5">
        <w:rPr>
          <w:rFonts w:cs="Arial"/>
        </w:rPr>
        <w:t xml:space="preserve">la </w:t>
      </w:r>
      <w:r w:rsidR="000D599C" w:rsidRPr="00DA27B5">
        <w:rPr>
          <w:rFonts w:cs="Arial"/>
        </w:rPr>
        <w:t xml:space="preserve">uretrotrigonitis«, </w:t>
      </w:r>
      <w:r w:rsidR="006D712B" w:rsidRPr="00DA27B5">
        <w:rPr>
          <w:rFonts w:cs="Arial"/>
        </w:rPr>
        <w:t>las cirugías</w:t>
      </w:r>
      <w:r w:rsidR="000D599C" w:rsidRPr="00DA27B5">
        <w:rPr>
          <w:rFonts w:cs="Arial"/>
        </w:rPr>
        <w:t xml:space="preserve"> previas</w:t>
      </w:r>
      <w:r w:rsidR="006D712B" w:rsidRPr="00DA27B5">
        <w:rPr>
          <w:rFonts w:cs="Arial"/>
        </w:rPr>
        <w:t>,</w:t>
      </w:r>
      <w:r w:rsidR="000D599C" w:rsidRPr="00DA27B5">
        <w:rPr>
          <w:rFonts w:cs="Arial"/>
        </w:rPr>
        <w:t xml:space="preserve"> así como </w:t>
      </w:r>
      <w:r w:rsidR="006D712B" w:rsidRPr="00DA27B5">
        <w:rPr>
          <w:rFonts w:cs="Arial"/>
        </w:rPr>
        <w:t>las causas</w:t>
      </w:r>
      <w:r w:rsidR="000D599C" w:rsidRPr="00DA27B5">
        <w:rPr>
          <w:rFonts w:cs="Arial"/>
        </w:rPr>
        <w:t xml:space="preserve"> idiopáticas y </w:t>
      </w:r>
      <w:r w:rsidR="006D712B" w:rsidRPr="00DA27B5">
        <w:rPr>
          <w:rFonts w:cs="Arial"/>
        </w:rPr>
        <w:t>por último</w:t>
      </w:r>
      <w:r w:rsidR="000D599C" w:rsidRPr="00DA27B5">
        <w:rPr>
          <w:rFonts w:cs="Arial"/>
        </w:rPr>
        <w:t xml:space="preserve"> psicosomáticas </w:t>
      </w:r>
      <w:r w:rsidR="00110261" w:rsidRPr="00DA27B5">
        <w:rPr>
          <w:rFonts w:cs="Arial"/>
        </w:rPr>
        <w:t>acaban</w:t>
      </w:r>
      <w:r w:rsidR="00BE7A23" w:rsidRPr="00DA27B5">
        <w:rPr>
          <w:rFonts w:cs="Arial"/>
        </w:rPr>
        <w:t xml:space="preserve"> en</w:t>
      </w:r>
      <w:r w:rsidR="000305AB" w:rsidRPr="00DA27B5">
        <w:rPr>
          <w:rFonts w:cs="Arial"/>
        </w:rPr>
        <w:t xml:space="preserve"> </w:t>
      </w:r>
      <w:r w:rsidR="006D712B" w:rsidRPr="00DA27B5">
        <w:rPr>
          <w:rFonts w:cs="Arial"/>
        </w:rPr>
        <w:t>trastornos</w:t>
      </w:r>
      <w:r w:rsidR="000305AB" w:rsidRPr="00DA27B5">
        <w:rPr>
          <w:rFonts w:cs="Arial"/>
        </w:rPr>
        <w:t xml:space="preserve"> de la función vesical (5). </w:t>
      </w:r>
      <w:r w:rsidR="00764ECF" w:rsidRPr="00DA27B5">
        <w:rPr>
          <w:rFonts w:cs="Arial"/>
        </w:rPr>
        <w:t xml:space="preserve">La </w:t>
      </w:r>
      <w:r w:rsidR="001F2A06" w:rsidRPr="00DA27B5">
        <w:rPr>
          <w:rFonts w:cs="Arial"/>
        </w:rPr>
        <w:t>diversidad</w:t>
      </w:r>
      <w:r w:rsidR="00764ECF" w:rsidRPr="00DA27B5">
        <w:rPr>
          <w:rFonts w:cs="Arial"/>
        </w:rPr>
        <w:t xml:space="preserve"> de </w:t>
      </w:r>
      <w:r w:rsidR="007B03F1" w:rsidRPr="00DA27B5">
        <w:rPr>
          <w:rFonts w:cs="Arial"/>
        </w:rPr>
        <w:t>métodos terapéuticos</w:t>
      </w:r>
      <w:r w:rsidR="001F2A06" w:rsidRPr="00DA27B5">
        <w:rPr>
          <w:rFonts w:cs="Arial"/>
        </w:rPr>
        <w:t xml:space="preserve"> hasta la fecha </w:t>
      </w:r>
      <w:r w:rsidR="007B03F1" w:rsidRPr="00DA27B5">
        <w:rPr>
          <w:rFonts w:cs="Arial"/>
        </w:rPr>
        <w:t>aceptados,</w:t>
      </w:r>
      <w:r w:rsidR="001F2A06" w:rsidRPr="00DA27B5">
        <w:rPr>
          <w:rFonts w:cs="Arial"/>
        </w:rPr>
        <w:t xml:space="preserve"> </w:t>
      </w:r>
      <w:r w:rsidR="004B6A06" w:rsidRPr="00DA27B5">
        <w:rPr>
          <w:rFonts w:cs="Arial"/>
        </w:rPr>
        <w:t xml:space="preserve">que van desde la intervención quirúrgica – denervación parcial de la vejiga (8), cistolisis (13), neurectomía sacral selectiva (12) – </w:t>
      </w:r>
      <w:r w:rsidR="00C13D6F" w:rsidRPr="00DA27B5">
        <w:rPr>
          <w:rFonts w:cs="Arial"/>
        </w:rPr>
        <w:t>pasando por</w:t>
      </w:r>
      <w:r w:rsidR="004B6A06" w:rsidRPr="00DA27B5">
        <w:rPr>
          <w:rFonts w:cs="Arial"/>
        </w:rPr>
        <w:t xml:space="preserve"> una </w:t>
      </w:r>
      <w:r w:rsidR="002A3079" w:rsidRPr="00DA27B5">
        <w:rPr>
          <w:rFonts w:cs="Arial"/>
        </w:rPr>
        <w:t>serie</w:t>
      </w:r>
      <w:r w:rsidR="004B6A06" w:rsidRPr="00DA27B5">
        <w:rPr>
          <w:rFonts w:cs="Arial"/>
        </w:rPr>
        <w:t xml:space="preserve"> de medidas farmacológicas </w:t>
      </w:r>
      <w:r w:rsidR="00C13D6F" w:rsidRPr="00DA27B5">
        <w:rPr>
          <w:rFonts w:cs="Arial"/>
        </w:rPr>
        <w:t>(10) hasta la combinación de diferentes estrategias</w:t>
      </w:r>
      <w:r w:rsidR="002D5E5D" w:rsidRPr="00DA27B5">
        <w:rPr>
          <w:rFonts w:cs="Arial"/>
        </w:rPr>
        <w:t xml:space="preserve"> </w:t>
      </w:r>
      <w:r w:rsidR="00B74FD2" w:rsidRPr="00DA27B5">
        <w:rPr>
          <w:rFonts w:cs="Arial"/>
        </w:rPr>
        <w:t>mediante</w:t>
      </w:r>
      <w:r w:rsidR="002D5E5D" w:rsidRPr="00DA27B5">
        <w:rPr>
          <w:rFonts w:cs="Arial"/>
        </w:rPr>
        <w:t xml:space="preserve"> el</w:t>
      </w:r>
      <w:r w:rsidR="00C13D6F" w:rsidRPr="00DA27B5">
        <w:rPr>
          <w:rFonts w:cs="Arial"/>
        </w:rPr>
        <w:t xml:space="preserve"> </w:t>
      </w:r>
      <w:r w:rsidR="002D5E5D" w:rsidRPr="00DA27B5">
        <w:rPr>
          <w:rFonts w:cs="Arial"/>
        </w:rPr>
        <w:t xml:space="preserve">método </w:t>
      </w:r>
      <w:r w:rsidR="009D6E21" w:rsidRPr="00DA27B5">
        <w:rPr>
          <w:rFonts w:cs="Arial"/>
          <w:i/>
        </w:rPr>
        <w:t>Frewen</w:t>
      </w:r>
      <w:r w:rsidR="00342FAA" w:rsidRPr="00DA27B5">
        <w:rPr>
          <w:rFonts w:cs="Arial"/>
        </w:rPr>
        <w:t xml:space="preserve"> (5), evidencian que el tratamiento</w:t>
      </w:r>
      <w:r w:rsidR="00110A2E" w:rsidRPr="00DA27B5">
        <w:rPr>
          <w:rFonts w:cs="Arial"/>
        </w:rPr>
        <w:t xml:space="preserve"> de elección </w:t>
      </w:r>
      <w:r w:rsidR="00342FAA" w:rsidRPr="00DA27B5">
        <w:rPr>
          <w:rFonts w:cs="Arial"/>
        </w:rPr>
        <w:t xml:space="preserve">todavía no se ha </w:t>
      </w:r>
      <w:r w:rsidR="00934D1C" w:rsidRPr="00DA27B5">
        <w:rPr>
          <w:rFonts w:cs="Arial"/>
        </w:rPr>
        <w:t>hallado</w:t>
      </w:r>
      <w:r w:rsidR="00342FAA" w:rsidRPr="00DA27B5">
        <w:rPr>
          <w:rFonts w:cs="Arial"/>
        </w:rPr>
        <w:t>.</w:t>
      </w:r>
    </w:p>
    <w:p w:rsidR="00342FAA" w:rsidRPr="00DA27B5" w:rsidRDefault="00465919" w:rsidP="00333AFE">
      <w:pPr>
        <w:rPr>
          <w:rFonts w:cs="Arial"/>
        </w:rPr>
      </w:pPr>
      <w:r w:rsidRPr="00DA27B5">
        <w:rPr>
          <w:rFonts w:cs="Arial"/>
        </w:rPr>
        <w:t xml:space="preserve">El método </w:t>
      </w:r>
      <w:r w:rsidR="00FD69F1" w:rsidRPr="00DA27B5">
        <w:rPr>
          <w:rFonts w:cs="Arial"/>
        </w:rPr>
        <w:t>aquí expuesto</w:t>
      </w:r>
      <w:r w:rsidR="006A2F83" w:rsidRPr="00DA27B5">
        <w:rPr>
          <w:rFonts w:cs="Arial"/>
        </w:rPr>
        <w:t xml:space="preserve"> y comprobado tampoco pretende</w:t>
      </w:r>
      <w:r w:rsidRPr="00DA27B5">
        <w:rPr>
          <w:rFonts w:cs="Arial"/>
        </w:rPr>
        <w:t xml:space="preserve"> </w:t>
      </w:r>
      <w:r w:rsidR="0067162E" w:rsidRPr="00DA27B5">
        <w:rPr>
          <w:rFonts w:cs="Arial"/>
        </w:rPr>
        <w:t>ser</w:t>
      </w:r>
      <w:r w:rsidRPr="00DA27B5">
        <w:rPr>
          <w:rFonts w:cs="Arial"/>
        </w:rPr>
        <w:t xml:space="preserve"> </w:t>
      </w:r>
      <w:r w:rsidR="00604EF7" w:rsidRPr="00DA27B5">
        <w:rPr>
          <w:rFonts w:cs="Arial"/>
        </w:rPr>
        <w:t>la</w:t>
      </w:r>
      <w:r w:rsidRPr="00DA27B5">
        <w:rPr>
          <w:rFonts w:cs="Arial"/>
        </w:rPr>
        <w:t xml:space="preserve"> </w:t>
      </w:r>
      <w:r w:rsidR="00AD3C4D" w:rsidRPr="00DA27B5">
        <w:rPr>
          <w:rFonts w:cs="Arial"/>
        </w:rPr>
        <w:t>clave</w:t>
      </w:r>
      <w:r w:rsidRPr="00DA27B5">
        <w:rPr>
          <w:rFonts w:cs="Arial"/>
        </w:rPr>
        <w:t xml:space="preserve"> para este problema terapéutico. </w:t>
      </w:r>
      <w:r w:rsidR="00B76E69" w:rsidRPr="00DA27B5">
        <w:rPr>
          <w:rFonts w:cs="Arial"/>
        </w:rPr>
        <w:t>En c</w:t>
      </w:r>
      <w:r w:rsidR="00604EF7" w:rsidRPr="00DA27B5">
        <w:rPr>
          <w:rFonts w:cs="Arial"/>
        </w:rPr>
        <w:t>ontra</w:t>
      </w:r>
      <w:r w:rsidR="008D652E" w:rsidRPr="00DA27B5">
        <w:rPr>
          <w:rFonts w:cs="Arial"/>
        </w:rPr>
        <w:t xml:space="preserve"> de</w:t>
      </w:r>
      <w:r w:rsidR="00604EF7" w:rsidRPr="00DA27B5">
        <w:rPr>
          <w:rFonts w:cs="Arial"/>
        </w:rPr>
        <w:t xml:space="preserve"> esto </w:t>
      </w:r>
      <w:r w:rsidR="00D31A23" w:rsidRPr="00DA27B5">
        <w:rPr>
          <w:rFonts w:cs="Arial"/>
        </w:rPr>
        <w:t xml:space="preserve">habla </w:t>
      </w:r>
      <w:r w:rsidR="00604EF7" w:rsidRPr="00DA27B5">
        <w:rPr>
          <w:rFonts w:cs="Arial"/>
        </w:rPr>
        <w:t>ya por sí</w:t>
      </w:r>
      <w:r w:rsidR="00D65BD6" w:rsidRPr="00DA27B5">
        <w:rPr>
          <w:rFonts w:cs="Arial"/>
        </w:rPr>
        <w:t xml:space="preserve"> sola</w:t>
      </w:r>
      <w:r w:rsidR="002B7982" w:rsidRPr="00DA27B5">
        <w:rPr>
          <w:rFonts w:cs="Arial"/>
        </w:rPr>
        <w:t xml:space="preserve"> </w:t>
      </w:r>
      <w:r w:rsidR="003530E9" w:rsidRPr="00DA27B5">
        <w:rPr>
          <w:rFonts w:cs="Arial"/>
        </w:rPr>
        <w:t xml:space="preserve">la persistencia </w:t>
      </w:r>
      <w:r w:rsidR="002B7982" w:rsidRPr="00DA27B5">
        <w:rPr>
          <w:rFonts w:cs="Arial"/>
        </w:rPr>
        <w:t>de</w:t>
      </w:r>
      <w:r w:rsidR="00E13C48" w:rsidRPr="00DA27B5">
        <w:rPr>
          <w:rFonts w:cs="Arial"/>
        </w:rPr>
        <w:t xml:space="preserve"> las</w:t>
      </w:r>
      <w:r w:rsidR="002B7982" w:rsidRPr="00DA27B5">
        <w:rPr>
          <w:rFonts w:cs="Arial"/>
        </w:rPr>
        <w:t xml:space="preserve"> contracciones incontroladas del detrusor </w:t>
      </w:r>
      <w:r w:rsidR="00941EE0" w:rsidRPr="00DA27B5">
        <w:rPr>
          <w:rFonts w:cs="Arial"/>
        </w:rPr>
        <w:t xml:space="preserve">tras la terapia neural. </w:t>
      </w:r>
      <w:r w:rsidR="00B64CDC" w:rsidRPr="00DA27B5">
        <w:rPr>
          <w:rFonts w:cs="Arial"/>
        </w:rPr>
        <w:t xml:space="preserve">Según </w:t>
      </w:r>
      <w:r w:rsidR="00B64CDC" w:rsidRPr="00DA27B5">
        <w:rPr>
          <w:rFonts w:cs="Arial"/>
          <w:i/>
        </w:rPr>
        <w:t>Bänninger</w:t>
      </w:r>
      <w:r w:rsidR="00B64CDC" w:rsidRPr="00DA27B5">
        <w:rPr>
          <w:rFonts w:cs="Arial"/>
        </w:rPr>
        <w:t xml:space="preserve"> y </w:t>
      </w:r>
      <w:r w:rsidR="00B64CDC" w:rsidRPr="00DA27B5">
        <w:rPr>
          <w:rFonts w:cs="Arial"/>
          <w:i/>
        </w:rPr>
        <w:t>Kunz</w:t>
      </w:r>
      <w:r w:rsidR="00B64CDC" w:rsidRPr="00DA27B5">
        <w:rPr>
          <w:rFonts w:cs="Arial"/>
        </w:rPr>
        <w:t xml:space="preserve"> (1), l</w:t>
      </w:r>
      <w:r w:rsidR="00F84473" w:rsidRPr="00DA27B5">
        <w:rPr>
          <w:rFonts w:cs="Arial"/>
        </w:rPr>
        <w:t xml:space="preserve">as contracciones incontroladas del detrusor </w:t>
      </w:r>
      <w:r w:rsidR="002D3690" w:rsidRPr="00DA27B5">
        <w:rPr>
          <w:rFonts w:cs="Arial"/>
        </w:rPr>
        <w:t xml:space="preserve">ya </w:t>
      </w:r>
      <w:r w:rsidR="00F84473" w:rsidRPr="00DA27B5">
        <w:rPr>
          <w:rFonts w:cs="Arial"/>
        </w:rPr>
        <w:t xml:space="preserve">son </w:t>
      </w:r>
      <w:r w:rsidR="002D3690" w:rsidRPr="00DA27B5">
        <w:rPr>
          <w:rFonts w:cs="Arial"/>
        </w:rPr>
        <w:t xml:space="preserve">por sí solas importantes </w:t>
      </w:r>
      <w:r w:rsidR="005F44C7" w:rsidRPr="00DA27B5">
        <w:rPr>
          <w:rFonts w:cs="Arial"/>
        </w:rPr>
        <w:t xml:space="preserve">para </w:t>
      </w:r>
      <w:r w:rsidR="00CD0D81" w:rsidRPr="00DA27B5">
        <w:rPr>
          <w:rFonts w:cs="Arial"/>
        </w:rPr>
        <w:t xml:space="preserve">el diagnóstico urodinámico </w:t>
      </w:r>
      <w:r w:rsidR="00765181" w:rsidRPr="00DA27B5">
        <w:rPr>
          <w:rFonts w:cs="Arial"/>
        </w:rPr>
        <w:t xml:space="preserve">de la </w:t>
      </w:r>
      <w:r w:rsidR="008D652E" w:rsidRPr="00DA27B5">
        <w:rPr>
          <w:rFonts w:cs="Arial"/>
        </w:rPr>
        <w:t>incontinencia de urgencia</w:t>
      </w:r>
      <w:r w:rsidR="00765181" w:rsidRPr="00DA27B5">
        <w:rPr>
          <w:rFonts w:cs="Arial"/>
        </w:rPr>
        <w:t xml:space="preserve">. </w:t>
      </w:r>
      <w:r w:rsidR="00A07610" w:rsidRPr="00DA27B5">
        <w:rPr>
          <w:rFonts w:cs="Arial"/>
        </w:rPr>
        <w:t>Sin embargo,</w:t>
      </w:r>
      <w:r w:rsidR="00BC3CCF" w:rsidRPr="00DA27B5">
        <w:rPr>
          <w:rFonts w:cs="Arial"/>
        </w:rPr>
        <w:t xml:space="preserve"> </w:t>
      </w:r>
      <w:r w:rsidR="00022EB2" w:rsidRPr="00DA27B5">
        <w:rPr>
          <w:rFonts w:cs="Arial"/>
        </w:rPr>
        <w:t xml:space="preserve">mediante la terapia neural </w:t>
      </w:r>
      <w:r w:rsidR="00BC3CCF" w:rsidRPr="00DA27B5">
        <w:rPr>
          <w:rFonts w:cs="Arial"/>
        </w:rPr>
        <w:t xml:space="preserve">también pudimos </w:t>
      </w:r>
      <w:r w:rsidR="009D1186" w:rsidRPr="00DA27B5">
        <w:rPr>
          <w:rFonts w:cs="Arial"/>
        </w:rPr>
        <w:t>obtener</w:t>
      </w:r>
      <w:r w:rsidR="00BC3CCF" w:rsidRPr="00DA27B5">
        <w:rPr>
          <w:rFonts w:cs="Arial"/>
        </w:rPr>
        <w:t xml:space="preserve"> mejoras subjetivas en los casos de </w:t>
      </w:r>
      <w:r w:rsidR="0050005C" w:rsidRPr="00DA27B5">
        <w:rPr>
          <w:rFonts w:cs="Arial"/>
        </w:rPr>
        <w:t>incontinencia de urgencia motora</w:t>
      </w:r>
      <w:r w:rsidR="00BC3CCF" w:rsidRPr="00DA27B5">
        <w:rPr>
          <w:rFonts w:cs="Arial"/>
        </w:rPr>
        <w:t>.</w:t>
      </w:r>
    </w:p>
    <w:p w:rsidR="0060445F" w:rsidRPr="00DA27B5" w:rsidRDefault="000120A1" w:rsidP="00333AFE">
      <w:pPr>
        <w:rPr>
          <w:rFonts w:cs="Arial"/>
        </w:rPr>
      </w:pPr>
      <w:r w:rsidRPr="00DA27B5">
        <w:rPr>
          <w:rFonts w:cs="Arial"/>
        </w:rPr>
        <w:t>La inyección parauretral de anestésicos locales presenta frente a otros métodos tera</w:t>
      </w:r>
      <w:r w:rsidR="009A6C35" w:rsidRPr="00DA27B5">
        <w:rPr>
          <w:rFonts w:cs="Arial"/>
        </w:rPr>
        <w:t xml:space="preserve">péuticos ventajas no </w:t>
      </w:r>
      <w:r w:rsidR="00A12FC5" w:rsidRPr="00DA27B5">
        <w:rPr>
          <w:rFonts w:cs="Arial"/>
        </w:rPr>
        <w:t>desdeñables</w:t>
      </w:r>
      <w:r w:rsidRPr="00DA27B5">
        <w:rPr>
          <w:rFonts w:cs="Arial"/>
        </w:rPr>
        <w:t xml:space="preserve">. </w:t>
      </w:r>
      <w:r w:rsidR="00B96F99" w:rsidRPr="00DA27B5">
        <w:rPr>
          <w:rFonts w:cs="Arial"/>
        </w:rPr>
        <w:t>El efecto</w:t>
      </w:r>
      <w:r w:rsidR="00B32823" w:rsidRPr="00DA27B5">
        <w:rPr>
          <w:rFonts w:cs="Arial"/>
        </w:rPr>
        <w:t xml:space="preserve"> </w:t>
      </w:r>
      <w:r w:rsidR="00B96F99" w:rsidRPr="00DA27B5">
        <w:rPr>
          <w:rFonts w:cs="Arial"/>
        </w:rPr>
        <w:t xml:space="preserve">subjetivo </w:t>
      </w:r>
      <w:r w:rsidR="007703CE" w:rsidRPr="00DA27B5">
        <w:rPr>
          <w:rFonts w:cs="Arial"/>
        </w:rPr>
        <w:t xml:space="preserve">aparece rápidamente </w:t>
      </w:r>
      <w:r w:rsidR="002F5A95" w:rsidRPr="00DA27B5">
        <w:rPr>
          <w:rFonts w:cs="Arial"/>
        </w:rPr>
        <w:t xml:space="preserve">y </w:t>
      </w:r>
      <w:r w:rsidR="007703CE" w:rsidRPr="00DA27B5">
        <w:rPr>
          <w:rFonts w:cs="Arial"/>
        </w:rPr>
        <w:t>sin efectos secundarios si se tienen en cuenta</w:t>
      </w:r>
      <w:r w:rsidR="002F5A95" w:rsidRPr="00DA27B5">
        <w:rPr>
          <w:rFonts w:cs="Arial"/>
        </w:rPr>
        <w:t xml:space="preserve"> las conocidas contraindicaciones de los anestésicos locales</w:t>
      </w:r>
      <w:r w:rsidR="00B97B6A" w:rsidRPr="00DA27B5">
        <w:rPr>
          <w:rFonts w:cs="Arial"/>
        </w:rPr>
        <w:t>.</w:t>
      </w:r>
      <w:r w:rsidR="00AC1506" w:rsidRPr="00DA27B5">
        <w:rPr>
          <w:rFonts w:cs="Arial"/>
        </w:rPr>
        <w:t xml:space="preserve"> </w:t>
      </w:r>
      <w:r w:rsidR="000316ED" w:rsidRPr="00DA27B5">
        <w:rPr>
          <w:rFonts w:cs="Arial"/>
        </w:rPr>
        <w:t>El</w:t>
      </w:r>
      <w:r w:rsidR="00AC1506" w:rsidRPr="00DA27B5">
        <w:rPr>
          <w:rFonts w:cs="Arial"/>
        </w:rPr>
        <w:t xml:space="preserve"> </w:t>
      </w:r>
      <w:r w:rsidR="000316ED" w:rsidRPr="00DA27B5">
        <w:rPr>
          <w:rFonts w:cs="Arial"/>
        </w:rPr>
        <w:t xml:space="preserve">porcentaje de éxito </w:t>
      </w:r>
      <w:r w:rsidR="007B44FA" w:rsidRPr="00DA27B5">
        <w:rPr>
          <w:rFonts w:cs="Arial"/>
        </w:rPr>
        <w:t>de est</w:t>
      </w:r>
      <w:r w:rsidR="001F4387" w:rsidRPr="00DA27B5">
        <w:rPr>
          <w:rFonts w:cs="Arial"/>
        </w:rPr>
        <w:t xml:space="preserve">e tipo </w:t>
      </w:r>
      <w:r w:rsidR="00AC1506" w:rsidRPr="00DA27B5">
        <w:rPr>
          <w:rFonts w:cs="Arial"/>
        </w:rPr>
        <w:t xml:space="preserve">de terapia </w:t>
      </w:r>
      <w:r w:rsidR="00855D2D" w:rsidRPr="00DA27B5">
        <w:rPr>
          <w:rFonts w:cs="Arial"/>
        </w:rPr>
        <w:t>es</w:t>
      </w:r>
      <w:r w:rsidR="001F4387" w:rsidRPr="00DA27B5">
        <w:rPr>
          <w:rFonts w:cs="Arial"/>
        </w:rPr>
        <w:t xml:space="preserve"> </w:t>
      </w:r>
      <w:r w:rsidR="000316ED" w:rsidRPr="00DA27B5">
        <w:rPr>
          <w:rFonts w:cs="Arial"/>
        </w:rPr>
        <w:t>claramente</w:t>
      </w:r>
      <w:r w:rsidR="00AD6182" w:rsidRPr="00DA27B5">
        <w:rPr>
          <w:rFonts w:cs="Arial"/>
        </w:rPr>
        <w:t xml:space="preserve"> </w:t>
      </w:r>
      <w:r w:rsidR="0047338F" w:rsidRPr="00DA27B5">
        <w:rPr>
          <w:rFonts w:cs="Arial"/>
        </w:rPr>
        <w:t>superior a m</w:t>
      </w:r>
      <w:r w:rsidR="00AD6182" w:rsidRPr="00DA27B5">
        <w:rPr>
          <w:rFonts w:cs="Arial"/>
        </w:rPr>
        <w:t>uchos de los métodos descritos en la literatura.</w:t>
      </w:r>
      <w:r w:rsidR="00983B8C" w:rsidRPr="00DA27B5">
        <w:rPr>
          <w:rFonts w:cs="Arial"/>
        </w:rPr>
        <w:t xml:space="preserve"> Sólo </w:t>
      </w:r>
      <w:r w:rsidR="00C40136" w:rsidRPr="00DA27B5">
        <w:rPr>
          <w:rFonts w:cs="Arial"/>
        </w:rPr>
        <w:t>es comparable</w:t>
      </w:r>
      <w:r w:rsidR="00983B8C" w:rsidRPr="00DA27B5">
        <w:rPr>
          <w:rFonts w:cs="Arial"/>
        </w:rPr>
        <w:t xml:space="preserve"> con el</w:t>
      </w:r>
      <w:r w:rsidR="00F25083" w:rsidRPr="00DA27B5">
        <w:rPr>
          <w:rFonts w:cs="Arial"/>
        </w:rPr>
        <w:t xml:space="preserve"> método </w:t>
      </w:r>
      <w:r w:rsidR="00983B8C" w:rsidRPr="00DA27B5">
        <w:rPr>
          <w:rFonts w:cs="Arial"/>
          <w:i/>
        </w:rPr>
        <w:t>Frewen</w:t>
      </w:r>
      <w:r w:rsidR="00F25083" w:rsidRPr="00DA27B5">
        <w:rPr>
          <w:rFonts w:cs="Arial"/>
          <w:i/>
        </w:rPr>
        <w:t xml:space="preserve"> </w:t>
      </w:r>
      <w:r w:rsidR="00345304" w:rsidRPr="00DA27B5">
        <w:rPr>
          <w:rFonts w:cs="Arial"/>
        </w:rPr>
        <w:t>–</w:t>
      </w:r>
      <w:r w:rsidR="00983B8C" w:rsidRPr="00DA27B5">
        <w:rPr>
          <w:rFonts w:cs="Arial"/>
        </w:rPr>
        <w:t xml:space="preserve"> </w:t>
      </w:r>
      <w:r w:rsidR="00345304" w:rsidRPr="00DA27B5">
        <w:rPr>
          <w:rFonts w:cs="Arial"/>
        </w:rPr>
        <w:t xml:space="preserve">con todos sus </w:t>
      </w:r>
      <w:r w:rsidR="00195C88" w:rsidRPr="00DA27B5">
        <w:rPr>
          <w:rFonts w:cs="Arial"/>
        </w:rPr>
        <w:t>efectos</w:t>
      </w:r>
      <w:r w:rsidR="00345304" w:rsidRPr="00DA27B5">
        <w:rPr>
          <w:rFonts w:cs="Arial"/>
        </w:rPr>
        <w:t xml:space="preserve"> secundarios </w:t>
      </w:r>
      <w:r w:rsidR="001A1F30" w:rsidRPr="00DA27B5">
        <w:rPr>
          <w:rFonts w:cs="Arial"/>
        </w:rPr>
        <w:t>debido a los fármacos recetados</w:t>
      </w:r>
      <w:r w:rsidR="00527978" w:rsidRPr="00DA27B5">
        <w:rPr>
          <w:rFonts w:cs="Arial"/>
        </w:rPr>
        <w:t xml:space="preserve"> (5) </w:t>
      </w:r>
      <w:r w:rsidR="00960A76" w:rsidRPr="00DA27B5">
        <w:rPr>
          <w:rFonts w:cs="Arial"/>
        </w:rPr>
        <w:t>–</w:t>
      </w:r>
      <w:r w:rsidR="001A1F30" w:rsidRPr="00DA27B5">
        <w:rPr>
          <w:rFonts w:cs="Arial"/>
        </w:rPr>
        <w:t xml:space="preserve"> </w:t>
      </w:r>
      <w:r w:rsidR="00960A76" w:rsidRPr="00DA27B5">
        <w:rPr>
          <w:rFonts w:cs="Arial"/>
        </w:rPr>
        <w:t>y con los</w:t>
      </w:r>
      <w:r w:rsidR="00C70E56" w:rsidRPr="00DA27B5">
        <w:rPr>
          <w:rFonts w:cs="Arial"/>
        </w:rPr>
        <w:t xml:space="preserve"> ejercicios </w:t>
      </w:r>
      <w:r w:rsidR="00E93822" w:rsidRPr="00DA27B5">
        <w:rPr>
          <w:rFonts w:cs="Arial"/>
        </w:rPr>
        <w:t xml:space="preserve">sistemáticos </w:t>
      </w:r>
      <w:r w:rsidR="00C70E56" w:rsidRPr="00DA27B5">
        <w:rPr>
          <w:rFonts w:cs="Arial"/>
        </w:rPr>
        <w:t>de dilatación vesical</w:t>
      </w:r>
      <w:r w:rsidR="00960A76" w:rsidRPr="00DA27B5">
        <w:rPr>
          <w:rFonts w:cs="Arial"/>
        </w:rPr>
        <w:t xml:space="preserve"> </w:t>
      </w:r>
      <w:r w:rsidR="008530A1" w:rsidRPr="00DA27B5">
        <w:rPr>
          <w:rFonts w:cs="Arial"/>
        </w:rPr>
        <w:t xml:space="preserve">programados </w:t>
      </w:r>
      <w:r w:rsidR="006E32B2" w:rsidRPr="00DA27B5">
        <w:rPr>
          <w:rFonts w:cs="Arial"/>
        </w:rPr>
        <w:t xml:space="preserve">durante </w:t>
      </w:r>
      <w:r w:rsidR="008530A1" w:rsidRPr="00DA27B5">
        <w:rPr>
          <w:rFonts w:cs="Arial"/>
        </w:rPr>
        <w:t>un</w:t>
      </w:r>
      <w:r w:rsidR="006E32B2" w:rsidRPr="00DA27B5">
        <w:rPr>
          <w:rFonts w:cs="Arial"/>
        </w:rPr>
        <w:t xml:space="preserve"> ingreso</w:t>
      </w:r>
      <w:r w:rsidR="00326798" w:rsidRPr="00DA27B5">
        <w:rPr>
          <w:rFonts w:cs="Arial"/>
        </w:rPr>
        <w:t xml:space="preserve"> hospitalario</w:t>
      </w:r>
      <w:r w:rsidR="0056287F" w:rsidRPr="00DA27B5">
        <w:rPr>
          <w:rFonts w:cs="Arial"/>
        </w:rPr>
        <w:t xml:space="preserve"> </w:t>
      </w:r>
      <w:r w:rsidR="00574E2E" w:rsidRPr="00DA27B5">
        <w:rPr>
          <w:rFonts w:cs="Arial"/>
        </w:rPr>
        <w:t>(9).</w:t>
      </w:r>
      <w:r w:rsidR="00D9234C" w:rsidRPr="00DA27B5">
        <w:rPr>
          <w:rFonts w:cs="Arial"/>
        </w:rPr>
        <w:t xml:space="preserve"> </w:t>
      </w:r>
      <w:r w:rsidR="00C26992" w:rsidRPr="00DA27B5">
        <w:rPr>
          <w:rFonts w:cs="Arial"/>
        </w:rPr>
        <w:t>La</w:t>
      </w:r>
      <w:r w:rsidR="00D9234C" w:rsidRPr="00DA27B5">
        <w:rPr>
          <w:rFonts w:cs="Arial"/>
        </w:rPr>
        <w:t xml:space="preserve"> </w:t>
      </w:r>
      <w:r w:rsidR="00C26992" w:rsidRPr="00DA27B5">
        <w:rPr>
          <w:rFonts w:cs="Arial"/>
        </w:rPr>
        <w:t xml:space="preserve">manifestación </w:t>
      </w:r>
      <w:r w:rsidR="003D4260" w:rsidRPr="00DA27B5">
        <w:rPr>
          <w:rFonts w:cs="Arial"/>
        </w:rPr>
        <w:t xml:space="preserve">objetivable </w:t>
      </w:r>
      <w:r w:rsidR="00245DB6" w:rsidRPr="00DA27B5">
        <w:rPr>
          <w:rFonts w:cs="Arial"/>
        </w:rPr>
        <w:t xml:space="preserve">de la mejora subjetiva es el </w:t>
      </w:r>
      <w:r w:rsidR="00C353E5" w:rsidRPr="00DA27B5">
        <w:rPr>
          <w:rFonts w:cs="Arial"/>
        </w:rPr>
        <w:t>retardo</w:t>
      </w:r>
      <w:r w:rsidR="00245DB6" w:rsidRPr="00DA27B5">
        <w:rPr>
          <w:rFonts w:cs="Arial"/>
        </w:rPr>
        <w:t xml:space="preserve"> del primer </w:t>
      </w:r>
      <w:r w:rsidR="00C353E5" w:rsidRPr="00DA27B5">
        <w:rPr>
          <w:rFonts w:cs="Arial"/>
        </w:rPr>
        <w:t>d</w:t>
      </w:r>
      <w:r w:rsidR="00DD3108" w:rsidRPr="00DA27B5">
        <w:rPr>
          <w:rFonts w:cs="Arial"/>
        </w:rPr>
        <w:t>eseo miccional</w:t>
      </w:r>
      <w:r w:rsidR="00245DB6" w:rsidRPr="00DA27B5">
        <w:rPr>
          <w:rFonts w:cs="Arial"/>
        </w:rPr>
        <w:t xml:space="preserve">: </w:t>
      </w:r>
      <w:r w:rsidR="00866EBE" w:rsidRPr="00DA27B5">
        <w:rPr>
          <w:rFonts w:cs="Arial"/>
        </w:rPr>
        <w:t>el volumen de llenado</w:t>
      </w:r>
      <w:r w:rsidR="002C1360" w:rsidRPr="00DA27B5">
        <w:rPr>
          <w:rFonts w:cs="Arial"/>
        </w:rPr>
        <w:t xml:space="preserve"> </w:t>
      </w:r>
      <w:r w:rsidR="007E56E2" w:rsidRPr="00DA27B5">
        <w:rPr>
          <w:rFonts w:cs="Arial"/>
        </w:rPr>
        <w:t>con</w:t>
      </w:r>
      <w:r w:rsidR="002C1360" w:rsidRPr="00DA27B5">
        <w:rPr>
          <w:rFonts w:cs="Arial"/>
        </w:rPr>
        <w:t xml:space="preserve"> el que</w:t>
      </w:r>
      <w:r w:rsidR="007E56E2" w:rsidRPr="00DA27B5">
        <w:rPr>
          <w:rFonts w:cs="Arial"/>
        </w:rPr>
        <w:t xml:space="preserve"> </w:t>
      </w:r>
      <w:r w:rsidR="002C467D" w:rsidRPr="00DA27B5">
        <w:rPr>
          <w:rFonts w:cs="Arial"/>
        </w:rPr>
        <w:t xml:space="preserve">durante la cistometría </w:t>
      </w:r>
      <w:r w:rsidR="00FC1952" w:rsidRPr="00DA27B5">
        <w:rPr>
          <w:rFonts w:cs="Arial"/>
        </w:rPr>
        <w:t>aparecía</w:t>
      </w:r>
      <w:r w:rsidR="007E56E2" w:rsidRPr="00DA27B5">
        <w:rPr>
          <w:rFonts w:cs="Arial"/>
        </w:rPr>
        <w:t xml:space="preserve"> el primer </w:t>
      </w:r>
      <w:r w:rsidR="00C353E5" w:rsidRPr="00DA27B5">
        <w:rPr>
          <w:rFonts w:cs="Arial"/>
        </w:rPr>
        <w:t>d</w:t>
      </w:r>
      <w:r w:rsidR="00DD3108" w:rsidRPr="00DA27B5">
        <w:rPr>
          <w:rFonts w:cs="Arial"/>
        </w:rPr>
        <w:t>eseo miccional</w:t>
      </w:r>
      <w:r w:rsidR="002C1360" w:rsidRPr="00DA27B5">
        <w:rPr>
          <w:rFonts w:cs="Arial"/>
        </w:rPr>
        <w:t xml:space="preserve"> </w:t>
      </w:r>
      <w:r w:rsidR="00FC119D" w:rsidRPr="00DA27B5">
        <w:rPr>
          <w:rFonts w:cs="Arial"/>
        </w:rPr>
        <w:t>era</w:t>
      </w:r>
      <w:r w:rsidR="007E56E2" w:rsidRPr="00DA27B5">
        <w:rPr>
          <w:rFonts w:cs="Arial"/>
        </w:rPr>
        <w:t xml:space="preserve"> significativamente mayor.</w:t>
      </w:r>
    </w:p>
    <w:p w:rsidR="004F7B57" w:rsidRPr="00DA27B5" w:rsidRDefault="00C353E5" w:rsidP="00333AFE">
      <w:pPr>
        <w:rPr>
          <w:rFonts w:cs="Arial"/>
        </w:rPr>
      </w:pPr>
      <w:r w:rsidRPr="00DA27B5">
        <w:rPr>
          <w:rFonts w:cs="Arial"/>
        </w:rPr>
        <w:t>Lo</w:t>
      </w:r>
      <w:r w:rsidR="004F7B57" w:rsidRPr="00DA27B5">
        <w:rPr>
          <w:rFonts w:cs="Arial"/>
        </w:rPr>
        <w:t xml:space="preserve">s </w:t>
      </w:r>
      <w:r w:rsidRPr="00DA27B5">
        <w:rPr>
          <w:rFonts w:cs="Arial"/>
        </w:rPr>
        <w:t>efectos</w:t>
      </w:r>
      <w:r w:rsidR="004F7B57" w:rsidRPr="00DA27B5">
        <w:rPr>
          <w:rFonts w:cs="Arial"/>
        </w:rPr>
        <w:t xml:space="preserve"> </w:t>
      </w:r>
      <w:r w:rsidR="00B3435B" w:rsidRPr="00DA27B5">
        <w:rPr>
          <w:rFonts w:cs="Arial"/>
        </w:rPr>
        <w:t xml:space="preserve">de la terapia neural </w:t>
      </w:r>
      <w:r w:rsidR="005E6E65" w:rsidRPr="00DA27B5">
        <w:rPr>
          <w:rFonts w:cs="Arial"/>
        </w:rPr>
        <w:t>han si</w:t>
      </w:r>
      <w:r w:rsidR="001D5429" w:rsidRPr="00DA27B5">
        <w:rPr>
          <w:rFonts w:cs="Arial"/>
        </w:rPr>
        <w:t>do confirmados y objetivado</w:t>
      </w:r>
      <w:r w:rsidR="006D017D" w:rsidRPr="00DA27B5">
        <w:rPr>
          <w:rFonts w:cs="Arial"/>
        </w:rPr>
        <w:t>s</w:t>
      </w:r>
      <w:r w:rsidR="007652EA" w:rsidRPr="00DA27B5">
        <w:rPr>
          <w:rFonts w:cs="Arial"/>
        </w:rPr>
        <w:t xml:space="preserve"> por distintos autores (4).</w:t>
      </w:r>
      <w:r w:rsidR="00DC758A" w:rsidRPr="00DA27B5">
        <w:rPr>
          <w:rFonts w:cs="Arial"/>
        </w:rPr>
        <w:t xml:space="preserve"> Una de las ventajas de la terapia neural radica en que no </w:t>
      </w:r>
      <w:r w:rsidR="00154A5C" w:rsidRPr="00DA27B5">
        <w:rPr>
          <w:rFonts w:cs="Arial"/>
        </w:rPr>
        <w:t>es necesaria</w:t>
      </w:r>
      <w:r w:rsidR="00DC758A" w:rsidRPr="00DA27B5">
        <w:rPr>
          <w:rFonts w:cs="Arial"/>
        </w:rPr>
        <w:t xml:space="preserve"> </w:t>
      </w:r>
      <w:r w:rsidR="00154A5C" w:rsidRPr="00DA27B5">
        <w:rPr>
          <w:rFonts w:cs="Arial"/>
        </w:rPr>
        <w:t>medicación suplementaria</w:t>
      </w:r>
      <w:r w:rsidR="00DC758A" w:rsidRPr="00DA27B5">
        <w:rPr>
          <w:rFonts w:cs="Arial"/>
        </w:rPr>
        <w:t xml:space="preserve"> </w:t>
      </w:r>
      <w:r w:rsidR="000C221B" w:rsidRPr="00DA27B5">
        <w:rPr>
          <w:rFonts w:cs="Arial"/>
        </w:rPr>
        <w:t xml:space="preserve">y que el tratamiento se puede realizar </w:t>
      </w:r>
      <w:r w:rsidR="00E66D1F" w:rsidRPr="00DA27B5">
        <w:rPr>
          <w:rFonts w:cs="Arial"/>
        </w:rPr>
        <w:t>de forma rápida y totalmente asintomática.</w:t>
      </w:r>
    </w:p>
    <w:p w:rsidR="00182158" w:rsidRPr="00DA27B5" w:rsidRDefault="00182158" w:rsidP="00333AFE">
      <w:pPr>
        <w:rPr>
          <w:rFonts w:cs="Arial"/>
        </w:rPr>
      </w:pPr>
      <w:r w:rsidRPr="00DA27B5">
        <w:rPr>
          <w:rFonts w:cs="Arial"/>
        </w:rPr>
        <w:t xml:space="preserve">La inyección parauretral </w:t>
      </w:r>
      <w:r w:rsidR="00026C75" w:rsidRPr="00DA27B5">
        <w:rPr>
          <w:rFonts w:cs="Arial"/>
        </w:rPr>
        <w:t>de anestésicos locales es un método terapéutico</w:t>
      </w:r>
      <w:r w:rsidR="000E3E34" w:rsidRPr="00DA27B5">
        <w:rPr>
          <w:rFonts w:cs="Arial"/>
        </w:rPr>
        <w:t xml:space="preserve"> sin efectos secundarios </w:t>
      </w:r>
      <w:r w:rsidR="00BF741A" w:rsidRPr="00DA27B5">
        <w:rPr>
          <w:rFonts w:cs="Arial"/>
        </w:rPr>
        <w:t>que</w:t>
      </w:r>
      <w:r w:rsidR="000E3E34" w:rsidRPr="00DA27B5">
        <w:rPr>
          <w:rFonts w:cs="Arial"/>
        </w:rPr>
        <w:t>,</w:t>
      </w:r>
      <w:r w:rsidR="00BF741A" w:rsidRPr="00DA27B5">
        <w:rPr>
          <w:rFonts w:cs="Arial"/>
        </w:rPr>
        <w:t xml:space="preserve"> por lo menos en el caso de la vejiga irritable</w:t>
      </w:r>
      <w:r w:rsidR="000E3E34" w:rsidRPr="00DA27B5">
        <w:rPr>
          <w:rFonts w:cs="Arial"/>
        </w:rPr>
        <w:t>,</w:t>
      </w:r>
      <w:r w:rsidR="00BF741A" w:rsidRPr="00DA27B5">
        <w:rPr>
          <w:rFonts w:cs="Arial"/>
        </w:rPr>
        <w:t xml:space="preserve"> </w:t>
      </w:r>
      <w:r w:rsidR="00081D7C" w:rsidRPr="00DA27B5">
        <w:rPr>
          <w:rFonts w:cs="Arial"/>
        </w:rPr>
        <w:t>puede aportar éxitos no sólo subjetivos sino también urodinámicamente cuantificables.</w:t>
      </w:r>
    </w:p>
    <w:p w:rsidR="00081D7C" w:rsidRPr="00DA27B5" w:rsidRDefault="00081D7C" w:rsidP="00333AFE">
      <w:pPr>
        <w:rPr>
          <w:rFonts w:cs="Arial"/>
        </w:rPr>
      </w:pPr>
    </w:p>
    <w:p w:rsidR="00081D7C" w:rsidRPr="00DA27B5" w:rsidRDefault="002C25CA" w:rsidP="00333AFE">
      <w:pPr>
        <w:rPr>
          <w:rFonts w:cs="Arial"/>
        </w:rPr>
      </w:pPr>
      <w:r w:rsidRPr="00DA27B5">
        <w:rPr>
          <w:rFonts w:cs="Arial"/>
          <w:b/>
          <w:sz w:val="28"/>
          <w:szCs w:val="28"/>
        </w:rPr>
        <w:t>Tabla</w:t>
      </w:r>
      <w:r w:rsidR="00081D7C" w:rsidRPr="00DA27B5">
        <w:rPr>
          <w:rFonts w:cs="Arial"/>
          <w:b/>
          <w:sz w:val="28"/>
          <w:szCs w:val="28"/>
        </w:rPr>
        <w:t xml:space="preserve"> 2</w:t>
      </w:r>
      <w:r w:rsidR="00862749" w:rsidRPr="00DA27B5">
        <w:rPr>
          <w:rFonts w:cs="Arial"/>
        </w:rPr>
        <w:t xml:space="preserve"> </w:t>
      </w:r>
      <w:r w:rsidRPr="00DA27B5">
        <w:rPr>
          <w:rFonts w:cs="Arial"/>
        </w:rPr>
        <w:t>Variaciones de lo</w:t>
      </w:r>
      <w:r w:rsidR="00862749" w:rsidRPr="00DA27B5">
        <w:rPr>
          <w:rFonts w:cs="Arial"/>
        </w:rPr>
        <w:t xml:space="preserve">s </w:t>
      </w:r>
      <w:r w:rsidRPr="00DA27B5">
        <w:rPr>
          <w:rFonts w:cs="Arial"/>
        </w:rPr>
        <w:t>síntomas</w:t>
      </w:r>
      <w:r w:rsidR="00EE512E" w:rsidRPr="00DA27B5">
        <w:rPr>
          <w:rFonts w:cs="Arial"/>
        </w:rPr>
        <w:t xml:space="preserve"> subjetivo</w:t>
      </w:r>
      <w:r w:rsidR="00862749" w:rsidRPr="00DA27B5">
        <w:rPr>
          <w:rFonts w:cs="Arial"/>
        </w:rPr>
        <w:t>s tras la inyección parauretral con Xyloneural (</w:t>
      </w:r>
      <w:r w:rsidRPr="00DA27B5">
        <w:rPr>
          <w:rFonts w:cs="Arial"/>
        </w:rPr>
        <w:t>Leyenda</w:t>
      </w:r>
      <w:r w:rsidR="00862749" w:rsidRPr="00DA27B5">
        <w:rPr>
          <w:rFonts w:cs="Arial"/>
        </w:rPr>
        <w:t xml:space="preserve">: - empeoramiento, O ninguna </w:t>
      </w:r>
      <w:r w:rsidR="00336166" w:rsidRPr="00DA27B5">
        <w:rPr>
          <w:rFonts w:cs="Arial"/>
        </w:rPr>
        <w:t>variación</w:t>
      </w:r>
      <w:r w:rsidR="00862749" w:rsidRPr="00DA27B5">
        <w:rPr>
          <w:rFonts w:cs="Arial"/>
        </w:rPr>
        <w:t xml:space="preserve">, + </w:t>
      </w:r>
      <w:r w:rsidR="00DA656A" w:rsidRPr="00DA27B5">
        <w:rPr>
          <w:rFonts w:cs="Arial"/>
        </w:rPr>
        <w:t>mejoría</w:t>
      </w:r>
      <w:r w:rsidR="00862749" w:rsidRPr="00DA27B5">
        <w:rPr>
          <w:rFonts w:cs="Arial"/>
        </w:rPr>
        <w:t xml:space="preserve">, ++ </w:t>
      </w:r>
      <w:r w:rsidR="00DA656A" w:rsidRPr="00DA27B5">
        <w:rPr>
          <w:rFonts w:cs="Arial"/>
        </w:rPr>
        <w:t>clara</w:t>
      </w:r>
      <w:r w:rsidR="00862749" w:rsidRPr="00DA27B5">
        <w:rPr>
          <w:rFonts w:cs="Arial"/>
        </w:rPr>
        <w:t xml:space="preserve"> </w:t>
      </w:r>
      <w:r w:rsidR="00DA656A" w:rsidRPr="00DA27B5">
        <w:rPr>
          <w:rFonts w:cs="Arial"/>
        </w:rPr>
        <w:t>mejoría</w:t>
      </w:r>
      <w:r w:rsidR="00862749" w:rsidRPr="00DA27B5">
        <w:rPr>
          <w:rFonts w:cs="Arial"/>
        </w:rPr>
        <w:t xml:space="preserve">, </w:t>
      </w:r>
      <w:r w:rsidR="00DA656A" w:rsidRPr="00DA27B5">
        <w:rPr>
          <w:rFonts w:cs="Arial"/>
        </w:rPr>
        <w:t>+++ asintomática</w:t>
      </w:r>
      <w:r w:rsidR="00862749" w:rsidRPr="00DA27B5">
        <w:rPr>
          <w:rFonts w:cs="Arial"/>
        </w:rPr>
        <w:t>)</w:t>
      </w:r>
    </w:p>
    <w:p w:rsidR="00EE7A17" w:rsidRPr="00DA27B5" w:rsidRDefault="00EE7A17" w:rsidP="00333AFE">
      <w:pPr>
        <w:rPr>
          <w:rFonts w:cs="Arial"/>
        </w:rPr>
      </w:pPr>
    </w:p>
    <w:tbl>
      <w:tblPr>
        <w:tblStyle w:val="Tablaconcuadrcula"/>
        <w:tblW w:w="0" w:type="auto"/>
        <w:tblLook w:val="04A0"/>
      </w:tblPr>
      <w:tblGrid>
        <w:gridCol w:w="1599"/>
        <w:gridCol w:w="1599"/>
        <w:gridCol w:w="1599"/>
        <w:gridCol w:w="1617"/>
        <w:gridCol w:w="1600"/>
        <w:gridCol w:w="1600"/>
        <w:gridCol w:w="1600"/>
      </w:tblGrid>
      <w:tr w:rsidR="00B11ED6" w:rsidRPr="00DA27B5" w:rsidTr="00AC586C">
        <w:tc>
          <w:tcPr>
            <w:tcW w:w="1599" w:type="dxa"/>
            <w:vMerge w:val="restart"/>
          </w:tcPr>
          <w:p w:rsidR="00B11ED6" w:rsidRPr="00DA27B5" w:rsidRDefault="00B11ED6" w:rsidP="00333AFE">
            <w:pPr>
              <w:rPr>
                <w:rFonts w:cs="Arial"/>
              </w:rPr>
            </w:pPr>
            <w:r w:rsidRPr="00DA27B5">
              <w:rPr>
                <w:rFonts w:cs="Arial"/>
              </w:rPr>
              <w:t>Pa</w:t>
            </w:r>
            <w:r w:rsidR="00C54A4F" w:rsidRPr="00DA27B5">
              <w:rPr>
                <w:rFonts w:cs="Arial"/>
              </w:rPr>
              <w:t>c. n</w:t>
            </w:r>
            <w:r w:rsidRPr="00DA27B5">
              <w:rPr>
                <w:rFonts w:cs="Arial"/>
              </w:rPr>
              <w:t>úm.</w:t>
            </w:r>
          </w:p>
        </w:tc>
        <w:tc>
          <w:tcPr>
            <w:tcW w:w="4815" w:type="dxa"/>
            <w:gridSpan w:val="3"/>
          </w:tcPr>
          <w:p w:rsidR="00B11ED6" w:rsidRPr="00DA27B5" w:rsidRDefault="00E40262" w:rsidP="00E83CA6">
            <w:pPr>
              <w:rPr>
                <w:rFonts w:cs="Arial"/>
              </w:rPr>
            </w:pPr>
            <w:r w:rsidRPr="00DA27B5">
              <w:rPr>
                <w:rFonts w:cs="Arial"/>
              </w:rPr>
              <w:t>Datos</w:t>
            </w:r>
            <w:r w:rsidR="00B11ED6" w:rsidRPr="00DA27B5">
              <w:rPr>
                <w:rFonts w:cs="Arial"/>
              </w:rPr>
              <w:t xml:space="preserve"> </w:t>
            </w:r>
            <w:r w:rsidR="006D2F4F" w:rsidRPr="00DA27B5">
              <w:rPr>
                <w:rFonts w:cs="Arial"/>
              </w:rPr>
              <w:t>anamnético</w:t>
            </w:r>
            <w:r w:rsidR="00B11ED6" w:rsidRPr="00DA27B5">
              <w:rPr>
                <w:rFonts w:cs="Arial"/>
              </w:rPr>
              <w:t xml:space="preserve">s </w:t>
            </w:r>
            <w:r w:rsidR="00E83CA6" w:rsidRPr="00DA27B5">
              <w:rPr>
                <w:rFonts w:cs="Arial"/>
              </w:rPr>
              <w:t xml:space="preserve">según la escala de </w:t>
            </w:r>
            <w:r w:rsidR="00AC586C" w:rsidRPr="00DA27B5">
              <w:rPr>
                <w:rFonts w:cs="Arial"/>
              </w:rPr>
              <w:t xml:space="preserve">urgencia/estrés </w:t>
            </w:r>
            <w:r w:rsidR="00B11ED6" w:rsidRPr="00DA27B5">
              <w:rPr>
                <w:rFonts w:cs="Arial"/>
              </w:rPr>
              <w:t>a</w:t>
            </w:r>
            <w:r w:rsidR="00AC586C" w:rsidRPr="00DA27B5">
              <w:rPr>
                <w:rFonts w:cs="Arial"/>
              </w:rPr>
              <w:t>ntes del comienzo de la terapia</w:t>
            </w:r>
          </w:p>
        </w:tc>
        <w:tc>
          <w:tcPr>
            <w:tcW w:w="4800" w:type="dxa"/>
            <w:gridSpan w:val="3"/>
          </w:tcPr>
          <w:p w:rsidR="00B11ED6" w:rsidRPr="00DA27B5" w:rsidRDefault="00E40262" w:rsidP="00333AFE">
            <w:pPr>
              <w:rPr>
                <w:rFonts w:cs="Arial"/>
              </w:rPr>
            </w:pPr>
            <w:r w:rsidRPr="00DA27B5">
              <w:rPr>
                <w:rFonts w:cs="Arial"/>
              </w:rPr>
              <w:t>Datos</w:t>
            </w:r>
            <w:r w:rsidR="00B11ED6" w:rsidRPr="00DA27B5">
              <w:rPr>
                <w:rFonts w:cs="Arial"/>
              </w:rPr>
              <w:t xml:space="preserve"> de las pacientes tras</w:t>
            </w:r>
            <w:r w:rsidR="00DD44B7" w:rsidRPr="00DA27B5">
              <w:rPr>
                <w:rFonts w:cs="Arial"/>
              </w:rPr>
              <w:t xml:space="preserve"> la</w:t>
            </w:r>
          </w:p>
        </w:tc>
      </w:tr>
      <w:tr w:rsidR="00B11ED6" w:rsidRPr="00DA27B5" w:rsidTr="00AC586C">
        <w:tc>
          <w:tcPr>
            <w:tcW w:w="1599" w:type="dxa"/>
            <w:vMerge/>
          </w:tcPr>
          <w:p w:rsidR="00B11ED6" w:rsidRPr="00DA27B5" w:rsidRDefault="00B11ED6" w:rsidP="00333AFE">
            <w:pPr>
              <w:rPr>
                <w:rFonts w:cs="Arial"/>
              </w:rPr>
            </w:pPr>
          </w:p>
        </w:tc>
        <w:tc>
          <w:tcPr>
            <w:tcW w:w="1599" w:type="dxa"/>
          </w:tcPr>
          <w:p w:rsidR="00EE512E" w:rsidRPr="00DA27B5" w:rsidRDefault="00EE512E" w:rsidP="00EE512E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Escala de urgencia</w:t>
            </w:r>
          </w:p>
        </w:tc>
        <w:tc>
          <w:tcPr>
            <w:tcW w:w="1599" w:type="dxa"/>
          </w:tcPr>
          <w:p w:rsidR="00EE512E" w:rsidRPr="00DA27B5" w:rsidRDefault="00EE512E" w:rsidP="00EE512E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Escala de estrés</w:t>
            </w:r>
          </w:p>
        </w:tc>
        <w:tc>
          <w:tcPr>
            <w:tcW w:w="1617" w:type="dxa"/>
          </w:tcPr>
          <w:p w:rsidR="00B11ED6" w:rsidRPr="00DA27B5" w:rsidRDefault="007410C9" w:rsidP="00333AFE">
            <w:pPr>
              <w:rPr>
                <w:rFonts w:cs="Arial"/>
              </w:rPr>
            </w:pPr>
            <w:r w:rsidRPr="00DA27B5">
              <w:rPr>
                <w:rFonts w:cs="Arial"/>
              </w:rPr>
              <w:t>Recuadro diagnóstico</w:t>
            </w:r>
          </w:p>
          <w:p w:rsidR="00BF3576" w:rsidRPr="00DA27B5" w:rsidRDefault="00644F20" w:rsidP="00333AFE">
            <w:pPr>
              <w:rPr>
                <w:rFonts w:cs="Arial"/>
                <w:i/>
                <w:sz w:val="18"/>
                <w:szCs w:val="18"/>
              </w:rPr>
            </w:pPr>
            <w:r w:rsidRPr="00DA27B5">
              <w:rPr>
                <w:rFonts w:cs="Arial"/>
                <w:i/>
                <w:sz w:val="18"/>
                <w:szCs w:val="18"/>
              </w:rPr>
              <w:t>(n. del t:</w:t>
            </w:r>
            <w:r w:rsidR="00BF3576" w:rsidRPr="00DA27B5">
              <w:rPr>
                <w:rFonts w:cs="Arial"/>
                <w:i/>
                <w:sz w:val="18"/>
                <w:szCs w:val="18"/>
              </w:rPr>
              <w:t xml:space="preserve"> según el cuestionario de incontinencia de Gaudenz)</w:t>
            </w:r>
          </w:p>
        </w:tc>
        <w:tc>
          <w:tcPr>
            <w:tcW w:w="1600" w:type="dxa"/>
          </w:tcPr>
          <w:p w:rsidR="00B11ED6" w:rsidRPr="00DA27B5" w:rsidRDefault="00B11ED6" w:rsidP="00333AFE">
            <w:pPr>
              <w:rPr>
                <w:rFonts w:cs="Arial"/>
              </w:rPr>
            </w:pPr>
            <w:r w:rsidRPr="00DA27B5">
              <w:rPr>
                <w:rFonts w:cs="Arial"/>
              </w:rPr>
              <w:t>1</w:t>
            </w:r>
            <w:r w:rsidR="00DD44B7" w:rsidRPr="00DA27B5">
              <w:rPr>
                <w:rFonts w:cs="Arial"/>
              </w:rPr>
              <w:t>ª</w:t>
            </w:r>
            <w:r w:rsidRPr="00DA27B5">
              <w:rPr>
                <w:rFonts w:cs="Arial"/>
              </w:rPr>
              <w:t xml:space="preserve"> Inyección</w:t>
            </w:r>
          </w:p>
        </w:tc>
        <w:tc>
          <w:tcPr>
            <w:tcW w:w="1600" w:type="dxa"/>
          </w:tcPr>
          <w:p w:rsidR="00B11ED6" w:rsidRPr="00DA27B5" w:rsidRDefault="00B11ED6" w:rsidP="00333AFE">
            <w:pPr>
              <w:rPr>
                <w:rFonts w:cs="Arial"/>
              </w:rPr>
            </w:pPr>
            <w:r w:rsidRPr="00DA27B5">
              <w:rPr>
                <w:rFonts w:cs="Arial"/>
              </w:rPr>
              <w:t>2</w:t>
            </w:r>
            <w:r w:rsidR="00DD44B7" w:rsidRPr="00DA27B5">
              <w:rPr>
                <w:rFonts w:cs="Arial"/>
              </w:rPr>
              <w:t>ª</w:t>
            </w:r>
            <w:r w:rsidRPr="00DA27B5">
              <w:rPr>
                <w:rFonts w:cs="Arial"/>
              </w:rPr>
              <w:t xml:space="preserve"> Inyección</w:t>
            </w:r>
          </w:p>
        </w:tc>
        <w:tc>
          <w:tcPr>
            <w:tcW w:w="1600" w:type="dxa"/>
          </w:tcPr>
          <w:p w:rsidR="00B11ED6" w:rsidRPr="00DA27B5" w:rsidRDefault="00B11ED6" w:rsidP="00333AFE">
            <w:pPr>
              <w:rPr>
                <w:rFonts w:cs="Arial"/>
              </w:rPr>
            </w:pPr>
            <w:r w:rsidRPr="00DA27B5">
              <w:rPr>
                <w:rFonts w:cs="Arial"/>
              </w:rPr>
              <w:t>3</w:t>
            </w:r>
            <w:r w:rsidR="00DD44B7" w:rsidRPr="00DA27B5">
              <w:rPr>
                <w:rFonts w:cs="Arial"/>
              </w:rPr>
              <w:t>ª</w:t>
            </w:r>
            <w:r w:rsidRPr="00DA27B5">
              <w:rPr>
                <w:rFonts w:cs="Arial"/>
              </w:rPr>
              <w:t xml:space="preserve"> Inyección</w:t>
            </w:r>
          </w:p>
        </w:tc>
      </w:tr>
      <w:tr w:rsidR="00EE7A17" w:rsidRPr="00DA27B5" w:rsidTr="00AC586C"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</w:t>
            </w:r>
          </w:p>
        </w:tc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</w:t>
            </w:r>
          </w:p>
        </w:tc>
        <w:tc>
          <w:tcPr>
            <w:tcW w:w="1599" w:type="dxa"/>
          </w:tcPr>
          <w:p w:rsidR="00EE7A17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5</w:t>
            </w:r>
          </w:p>
        </w:tc>
        <w:tc>
          <w:tcPr>
            <w:tcW w:w="1617" w:type="dxa"/>
          </w:tcPr>
          <w:p w:rsidR="00EE7A17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3</w:t>
            </w:r>
          </w:p>
        </w:tc>
        <w:tc>
          <w:tcPr>
            <w:tcW w:w="1600" w:type="dxa"/>
          </w:tcPr>
          <w:p w:rsidR="00EE7A17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600" w:type="dxa"/>
          </w:tcPr>
          <w:p w:rsidR="00EE7A17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600" w:type="dxa"/>
          </w:tcPr>
          <w:p w:rsidR="00EE7A17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EE7A17" w:rsidRPr="00DA27B5" w:rsidTr="00AC586C"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</w:t>
            </w:r>
          </w:p>
        </w:tc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</w:t>
            </w:r>
          </w:p>
        </w:tc>
        <w:tc>
          <w:tcPr>
            <w:tcW w:w="1599" w:type="dxa"/>
          </w:tcPr>
          <w:p w:rsidR="00EE7A17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</w:t>
            </w:r>
          </w:p>
        </w:tc>
        <w:tc>
          <w:tcPr>
            <w:tcW w:w="1617" w:type="dxa"/>
          </w:tcPr>
          <w:p w:rsidR="00EE7A17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3</w:t>
            </w:r>
          </w:p>
        </w:tc>
        <w:tc>
          <w:tcPr>
            <w:tcW w:w="1600" w:type="dxa"/>
          </w:tcPr>
          <w:p w:rsidR="00EE7A17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600" w:type="dxa"/>
          </w:tcPr>
          <w:p w:rsidR="00EE7A17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600" w:type="dxa"/>
          </w:tcPr>
          <w:p w:rsidR="00EE7A17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EE7A17" w:rsidRPr="00DA27B5" w:rsidTr="00AC586C"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</w:t>
            </w:r>
          </w:p>
        </w:tc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9</w:t>
            </w:r>
          </w:p>
        </w:tc>
        <w:tc>
          <w:tcPr>
            <w:tcW w:w="1599" w:type="dxa"/>
          </w:tcPr>
          <w:p w:rsidR="00EE7A17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</w:t>
            </w:r>
          </w:p>
        </w:tc>
        <w:tc>
          <w:tcPr>
            <w:tcW w:w="1617" w:type="dxa"/>
          </w:tcPr>
          <w:p w:rsidR="00EE7A17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3</w:t>
            </w:r>
          </w:p>
        </w:tc>
        <w:tc>
          <w:tcPr>
            <w:tcW w:w="1600" w:type="dxa"/>
          </w:tcPr>
          <w:p w:rsidR="00EE7A17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  <w:tc>
          <w:tcPr>
            <w:tcW w:w="1600" w:type="dxa"/>
          </w:tcPr>
          <w:p w:rsidR="00EE7A17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  <w:tc>
          <w:tcPr>
            <w:tcW w:w="1600" w:type="dxa"/>
          </w:tcPr>
          <w:p w:rsidR="00EE7A17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+++</w:t>
            </w:r>
          </w:p>
        </w:tc>
      </w:tr>
      <w:tr w:rsidR="00EE7A17" w:rsidRPr="00DA27B5" w:rsidTr="00AC586C"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4</w:t>
            </w:r>
          </w:p>
        </w:tc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17</w:t>
            </w:r>
          </w:p>
        </w:tc>
        <w:tc>
          <w:tcPr>
            <w:tcW w:w="1599" w:type="dxa"/>
          </w:tcPr>
          <w:p w:rsidR="00EE7A17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</w:t>
            </w:r>
          </w:p>
        </w:tc>
        <w:tc>
          <w:tcPr>
            <w:tcW w:w="1617" w:type="dxa"/>
          </w:tcPr>
          <w:p w:rsidR="00EE7A17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1</w:t>
            </w:r>
          </w:p>
        </w:tc>
        <w:tc>
          <w:tcPr>
            <w:tcW w:w="1600" w:type="dxa"/>
          </w:tcPr>
          <w:p w:rsidR="00EE7A17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  <w:tc>
          <w:tcPr>
            <w:tcW w:w="1600" w:type="dxa"/>
          </w:tcPr>
          <w:p w:rsidR="00EE7A17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  <w:tc>
          <w:tcPr>
            <w:tcW w:w="1600" w:type="dxa"/>
          </w:tcPr>
          <w:p w:rsidR="00EE7A17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EE7A17" w:rsidRPr="00DA27B5" w:rsidTr="00AC586C"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5</w:t>
            </w:r>
          </w:p>
        </w:tc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14</w:t>
            </w:r>
          </w:p>
        </w:tc>
        <w:tc>
          <w:tcPr>
            <w:tcW w:w="1599" w:type="dxa"/>
          </w:tcPr>
          <w:p w:rsidR="00EE7A17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</w:t>
            </w:r>
          </w:p>
        </w:tc>
        <w:tc>
          <w:tcPr>
            <w:tcW w:w="1617" w:type="dxa"/>
          </w:tcPr>
          <w:p w:rsidR="00EE7A17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1</w:t>
            </w:r>
          </w:p>
        </w:tc>
        <w:tc>
          <w:tcPr>
            <w:tcW w:w="1600" w:type="dxa"/>
          </w:tcPr>
          <w:p w:rsidR="00EE7A17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600" w:type="dxa"/>
          </w:tcPr>
          <w:p w:rsidR="00EE7A17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600" w:type="dxa"/>
          </w:tcPr>
          <w:p w:rsidR="00EE7A17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EE7A17" w:rsidRPr="00DA27B5" w:rsidTr="00AC586C"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6</w:t>
            </w:r>
          </w:p>
        </w:tc>
        <w:tc>
          <w:tcPr>
            <w:tcW w:w="1599" w:type="dxa"/>
          </w:tcPr>
          <w:p w:rsidR="00EE7A17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16</w:t>
            </w:r>
          </w:p>
        </w:tc>
        <w:tc>
          <w:tcPr>
            <w:tcW w:w="1599" w:type="dxa"/>
          </w:tcPr>
          <w:p w:rsidR="00EE7A17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</w:t>
            </w:r>
          </w:p>
        </w:tc>
        <w:tc>
          <w:tcPr>
            <w:tcW w:w="1617" w:type="dxa"/>
          </w:tcPr>
          <w:p w:rsidR="00EE7A17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1</w:t>
            </w:r>
          </w:p>
        </w:tc>
        <w:tc>
          <w:tcPr>
            <w:tcW w:w="1600" w:type="dxa"/>
          </w:tcPr>
          <w:p w:rsidR="00EE7A17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  <w:tc>
          <w:tcPr>
            <w:tcW w:w="1600" w:type="dxa"/>
          </w:tcPr>
          <w:p w:rsidR="00EE7A17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600" w:type="dxa"/>
          </w:tcPr>
          <w:p w:rsidR="00EE7A17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</w:tr>
      <w:tr w:rsidR="00B533E8" w:rsidRPr="00DA27B5" w:rsidTr="00AC586C">
        <w:tc>
          <w:tcPr>
            <w:tcW w:w="1599" w:type="dxa"/>
          </w:tcPr>
          <w:p w:rsidR="00B533E8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7</w:t>
            </w:r>
          </w:p>
        </w:tc>
        <w:tc>
          <w:tcPr>
            <w:tcW w:w="1599" w:type="dxa"/>
          </w:tcPr>
          <w:p w:rsidR="00B533E8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15</w:t>
            </w:r>
          </w:p>
        </w:tc>
        <w:tc>
          <w:tcPr>
            <w:tcW w:w="1599" w:type="dxa"/>
          </w:tcPr>
          <w:p w:rsidR="00B533E8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6</w:t>
            </w:r>
          </w:p>
        </w:tc>
        <w:tc>
          <w:tcPr>
            <w:tcW w:w="1617" w:type="dxa"/>
          </w:tcPr>
          <w:p w:rsidR="00B533E8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1</w:t>
            </w:r>
          </w:p>
        </w:tc>
        <w:tc>
          <w:tcPr>
            <w:tcW w:w="1600" w:type="dxa"/>
          </w:tcPr>
          <w:p w:rsidR="00B533E8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  <w:tc>
          <w:tcPr>
            <w:tcW w:w="1600" w:type="dxa"/>
          </w:tcPr>
          <w:p w:rsidR="00B533E8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  <w:tc>
          <w:tcPr>
            <w:tcW w:w="1600" w:type="dxa"/>
          </w:tcPr>
          <w:p w:rsidR="00B533E8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B533E8" w:rsidRPr="00DA27B5" w:rsidTr="00AC586C">
        <w:tc>
          <w:tcPr>
            <w:tcW w:w="1599" w:type="dxa"/>
          </w:tcPr>
          <w:p w:rsidR="00B533E8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</w:t>
            </w:r>
          </w:p>
        </w:tc>
        <w:tc>
          <w:tcPr>
            <w:tcW w:w="1599" w:type="dxa"/>
          </w:tcPr>
          <w:p w:rsidR="00B533E8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12</w:t>
            </w:r>
          </w:p>
        </w:tc>
        <w:tc>
          <w:tcPr>
            <w:tcW w:w="1599" w:type="dxa"/>
          </w:tcPr>
          <w:p w:rsidR="00B533E8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7</w:t>
            </w:r>
          </w:p>
        </w:tc>
        <w:tc>
          <w:tcPr>
            <w:tcW w:w="1617" w:type="dxa"/>
          </w:tcPr>
          <w:p w:rsidR="00B533E8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4</w:t>
            </w:r>
          </w:p>
        </w:tc>
        <w:tc>
          <w:tcPr>
            <w:tcW w:w="1600" w:type="dxa"/>
          </w:tcPr>
          <w:p w:rsidR="00B533E8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600" w:type="dxa"/>
          </w:tcPr>
          <w:p w:rsidR="00B533E8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+++</w:t>
            </w:r>
          </w:p>
        </w:tc>
        <w:tc>
          <w:tcPr>
            <w:tcW w:w="1600" w:type="dxa"/>
          </w:tcPr>
          <w:p w:rsidR="00B533E8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+++</w:t>
            </w:r>
          </w:p>
        </w:tc>
      </w:tr>
      <w:tr w:rsidR="00B533E8" w:rsidRPr="00DA27B5" w:rsidTr="00AC586C">
        <w:tc>
          <w:tcPr>
            <w:tcW w:w="1599" w:type="dxa"/>
          </w:tcPr>
          <w:p w:rsidR="00B533E8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9</w:t>
            </w:r>
          </w:p>
        </w:tc>
        <w:tc>
          <w:tcPr>
            <w:tcW w:w="1599" w:type="dxa"/>
          </w:tcPr>
          <w:p w:rsidR="00B533E8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</w:t>
            </w:r>
          </w:p>
        </w:tc>
        <w:tc>
          <w:tcPr>
            <w:tcW w:w="1599" w:type="dxa"/>
          </w:tcPr>
          <w:p w:rsidR="00B533E8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7</w:t>
            </w:r>
          </w:p>
        </w:tc>
        <w:tc>
          <w:tcPr>
            <w:tcW w:w="1617" w:type="dxa"/>
          </w:tcPr>
          <w:p w:rsidR="00B533E8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4</w:t>
            </w:r>
          </w:p>
        </w:tc>
        <w:tc>
          <w:tcPr>
            <w:tcW w:w="1600" w:type="dxa"/>
          </w:tcPr>
          <w:p w:rsidR="00B533E8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600" w:type="dxa"/>
          </w:tcPr>
          <w:p w:rsidR="00B533E8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+++</w:t>
            </w:r>
          </w:p>
        </w:tc>
        <w:tc>
          <w:tcPr>
            <w:tcW w:w="1600" w:type="dxa"/>
          </w:tcPr>
          <w:p w:rsidR="00B533E8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+++</w:t>
            </w:r>
          </w:p>
        </w:tc>
      </w:tr>
      <w:tr w:rsidR="00B533E8" w:rsidRPr="00DA27B5" w:rsidTr="00AC586C">
        <w:tc>
          <w:tcPr>
            <w:tcW w:w="1599" w:type="dxa"/>
          </w:tcPr>
          <w:p w:rsidR="00B533E8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</w:t>
            </w:r>
          </w:p>
        </w:tc>
        <w:tc>
          <w:tcPr>
            <w:tcW w:w="1599" w:type="dxa"/>
          </w:tcPr>
          <w:p w:rsidR="00B533E8" w:rsidRPr="00DA27B5" w:rsidRDefault="00B533E8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</w:t>
            </w:r>
          </w:p>
        </w:tc>
        <w:tc>
          <w:tcPr>
            <w:tcW w:w="1599" w:type="dxa"/>
          </w:tcPr>
          <w:p w:rsidR="00B533E8" w:rsidRPr="00DA27B5" w:rsidRDefault="00AA547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6</w:t>
            </w:r>
          </w:p>
        </w:tc>
        <w:tc>
          <w:tcPr>
            <w:tcW w:w="1617" w:type="dxa"/>
          </w:tcPr>
          <w:p w:rsidR="00B533E8" w:rsidRPr="00DA27B5" w:rsidRDefault="00F20B9F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MR 3</w:t>
            </w:r>
          </w:p>
        </w:tc>
        <w:tc>
          <w:tcPr>
            <w:tcW w:w="1600" w:type="dxa"/>
          </w:tcPr>
          <w:p w:rsidR="00B533E8" w:rsidRPr="00DA27B5" w:rsidRDefault="00706E6B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600" w:type="dxa"/>
          </w:tcPr>
          <w:p w:rsidR="00B533E8" w:rsidRPr="00DA27B5" w:rsidRDefault="0076321E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  <w:tc>
          <w:tcPr>
            <w:tcW w:w="1600" w:type="dxa"/>
          </w:tcPr>
          <w:p w:rsidR="00B533E8" w:rsidRPr="00DA27B5" w:rsidRDefault="000B34B0" w:rsidP="00B533E8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</w:tbl>
    <w:p w:rsidR="00B533E8" w:rsidRPr="00DA27B5" w:rsidRDefault="00B533E8" w:rsidP="00B533E8">
      <w:pPr>
        <w:rPr>
          <w:rFonts w:cs="Arial"/>
        </w:rPr>
      </w:pPr>
    </w:p>
    <w:p w:rsidR="00251EEF" w:rsidRPr="00DA27B5" w:rsidRDefault="006252F6" w:rsidP="00B533E8">
      <w:pPr>
        <w:rPr>
          <w:rFonts w:cs="Arial"/>
        </w:rPr>
      </w:pPr>
      <w:r>
        <w:rPr>
          <w:rFonts w:cs="Arial"/>
          <w:b/>
          <w:sz w:val="28"/>
          <w:szCs w:val="28"/>
        </w:rPr>
        <w:t>Tabla</w:t>
      </w:r>
      <w:r w:rsidR="00251EEF" w:rsidRPr="00DA27B5">
        <w:rPr>
          <w:rFonts w:cs="Arial"/>
          <w:b/>
          <w:sz w:val="28"/>
          <w:szCs w:val="28"/>
        </w:rPr>
        <w:t xml:space="preserve"> 3</w:t>
      </w:r>
      <w:r w:rsidR="00251EEF" w:rsidRPr="00DA27B5">
        <w:rPr>
          <w:rFonts w:cs="Arial"/>
        </w:rPr>
        <w:t xml:space="preserve"> </w:t>
      </w:r>
      <w:r w:rsidR="007C4CD9" w:rsidRPr="00DA27B5">
        <w:rPr>
          <w:rFonts w:cs="Arial"/>
        </w:rPr>
        <w:t>Hallazgos</w:t>
      </w:r>
      <w:r w:rsidR="00251EEF" w:rsidRPr="00DA27B5">
        <w:rPr>
          <w:rFonts w:cs="Arial"/>
        </w:rPr>
        <w:t xml:space="preserve"> Urodinámicos previos al inicio de la terapia y tras la </w:t>
      </w:r>
      <w:r w:rsidR="007C4CD9" w:rsidRPr="00DA27B5">
        <w:rPr>
          <w:rFonts w:cs="Arial"/>
        </w:rPr>
        <w:t>triple</w:t>
      </w:r>
      <w:r w:rsidR="00251EEF" w:rsidRPr="00DA27B5">
        <w:rPr>
          <w:rFonts w:cs="Arial"/>
        </w:rPr>
        <w:t xml:space="preserve"> inyección </w:t>
      </w:r>
      <w:r w:rsidR="00D34551" w:rsidRPr="00DA27B5">
        <w:rPr>
          <w:rFonts w:cs="Arial"/>
        </w:rPr>
        <w:t>de Xyloneural</w:t>
      </w:r>
    </w:p>
    <w:p w:rsidR="00251EEF" w:rsidRPr="00DA27B5" w:rsidRDefault="00251EEF" w:rsidP="00B533E8">
      <w:pPr>
        <w:rPr>
          <w:rFonts w:cs="Arial"/>
        </w:rPr>
      </w:pPr>
    </w:p>
    <w:tbl>
      <w:tblPr>
        <w:tblStyle w:val="Tablaconcuadrcula"/>
        <w:tblW w:w="11307" w:type="dxa"/>
        <w:tblLayout w:type="fixed"/>
        <w:tblLook w:val="04A0"/>
      </w:tblPr>
      <w:tblGrid>
        <w:gridCol w:w="750"/>
        <w:gridCol w:w="1083"/>
        <w:gridCol w:w="1164"/>
        <w:gridCol w:w="1083"/>
        <w:gridCol w:w="848"/>
        <w:gridCol w:w="1417"/>
        <w:gridCol w:w="1276"/>
        <w:gridCol w:w="1134"/>
        <w:gridCol w:w="1276"/>
        <w:gridCol w:w="1276"/>
      </w:tblGrid>
      <w:tr w:rsidR="00136062" w:rsidRPr="00DA27B5" w:rsidTr="00CF3AC1">
        <w:tc>
          <w:tcPr>
            <w:tcW w:w="750" w:type="dxa"/>
          </w:tcPr>
          <w:p w:rsidR="00C610F1" w:rsidRPr="00DA27B5" w:rsidRDefault="007C4CD9" w:rsidP="007C4CD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Pac. n</w:t>
            </w:r>
            <w:r w:rsidR="00C610F1" w:rsidRPr="00DA27B5">
              <w:rPr>
                <w:rFonts w:cs="Arial"/>
              </w:rPr>
              <w:t xml:space="preserve">úm, </w:t>
            </w:r>
          </w:p>
        </w:tc>
        <w:tc>
          <w:tcPr>
            <w:tcW w:w="2247" w:type="dxa"/>
            <w:gridSpan w:val="2"/>
          </w:tcPr>
          <w:p w:rsidR="00C610F1" w:rsidRPr="00DA27B5" w:rsidRDefault="00C610F1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Previo al inicio de la terapia</w:t>
            </w:r>
          </w:p>
        </w:tc>
        <w:tc>
          <w:tcPr>
            <w:tcW w:w="1931" w:type="dxa"/>
            <w:gridSpan w:val="2"/>
            <w:tcBorders>
              <w:top w:val="nil"/>
            </w:tcBorders>
          </w:tcPr>
          <w:p w:rsidR="00C610F1" w:rsidRPr="00DA27B5" w:rsidRDefault="00C610F1" w:rsidP="008A25C9">
            <w:pPr>
              <w:jc w:val="left"/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:rsidR="00C610F1" w:rsidRPr="00DA27B5" w:rsidRDefault="00C610F1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Tras la terapia neural</w:t>
            </w:r>
          </w:p>
        </w:tc>
        <w:tc>
          <w:tcPr>
            <w:tcW w:w="3686" w:type="dxa"/>
            <w:gridSpan w:val="3"/>
            <w:tcBorders>
              <w:top w:val="nil"/>
              <w:right w:val="nil"/>
            </w:tcBorders>
          </w:tcPr>
          <w:p w:rsidR="00C610F1" w:rsidRPr="00DA27B5" w:rsidRDefault="00C610F1" w:rsidP="008A25C9">
            <w:pPr>
              <w:jc w:val="left"/>
              <w:rPr>
                <w:rFonts w:cs="Arial"/>
              </w:rPr>
            </w:pP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</w:p>
        </w:tc>
        <w:tc>
          <w:tcPr>
            <w:tcW w:w="1083" w:type="dxa"/>
          </w:tcPr>
          <w:p w:rsidR="0084149E" w:rsidRPr="00DA27B5" w:rsidRDefault="0084149E" w:rsidP="00D34551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Presión vesical</w:t>
            </w:r>
          </w:p>
          <w:p w:rsidR="0084149E" w:rsidRPr="00DA27B5" w:rsidRDefault="0084149E" w:rsidP="00D34551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(mmHg)</w:t>
            </w:r>
          </w:p>
          <w:p w:rsidR="0084149E" w:rsidRPr="00DA27B5" w:rsidRDefault="0084149E" w:rsidP="00D34551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A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Volumen vesical</w:t>
            </w:r>
          </w:p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(ml)</w:t>
            </w:r>
          </w:p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B</w:t>
            </w:r>
          </w:p>
        </w:tc>
        <w:tc>
          <w:tcPr>
            <w:tcW w:w="1083" w:type="dxa"/>
          </w:tcPr>
          <w:p w:rsidR="0084149E" w:rsidRPr="00DA27B5" w:rsidRDefault="00646670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PUM</w:t>
            </w:r>
          </w:p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(mmHg)</w:t>
            </w:r>
          </w:p>
        </w:tc>
        <w:tc>
          <w:tcPr>
            <w:tcW w:w="848" w:type="dxa"/>
          </w:tcPr>
          <w:p w:rsidR="0084149E" w:rsidRPr="00DA27B5" w:rsidRDefault="00CA72DC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Hiperactividad</w:t>
            </w:r>
          </w:p>
        </w:tc>
        <w:tc>
          <w:tcPr>
            <w:tcW w:w="1417" w:type="dxa"/>
          </w:tcPr>
          <w:p w:rsidR="0084149E" w:rsidRPr="00DA27B5" w:rsidRDefault="0084149E" w:rsidP="0057021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Presión vesical</w:t>
            </w:r>
          </w:p>
          <w:p w:rsidR="0084149E" w:rsidRPr="00DA27B5" w:rsidRDefault="0084149E" w:rsidP="0057021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(mmHg)</w:t>
            </w:r>
          </w:p>
          <w:p w:rsidR="0084149E" w:rsidRPr="00DA27B5" w:rsidRDefault="0084149E" w:rsidP="0057021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A</w:t>
            </w:r>
          </w:p>
        </w:tc>
        <w:tc>
          <w:tcPr>
            <w:tcW w:w="1276" w:type="dxa"/>
          </w:tcPr>
          <w:p w:rsidR="0084149E" w:rsidRPr="00DA27B5" w:rsidRDefault="0084149E" w:rsidP="0057021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Volumen vesical</w:t>
            </w:r>
          </w:p>
          <w:p w:rsidR="0084149E" w:rsidRPr="00DA27B5" w:rsidRDefault="0084149E" w:rsidP="0057021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(ml)</w:t>
            </w:r>
          </w:p>
          <w:p w:rsidR="0084149E" w:rsidRPr="00DA27B5" w:rsidRDefault="0084149E" w:rsidP="0057021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B</w:t>
            </w:r>
          </w:p>
        </w:tc>
        <w:tc>
          <w:tcPr>
            <w:tcW w:w="1134" w:type="dxa"/>
          </w:tcPr>
          <w:p w:rsidR="00646670" w:rsidRPr="00DA27B5" w:rsidRDefault="00646670" w:rsidP="00646670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PUM</w:t>
            </w:r>
          </w:p>
          <w:p w:rsidR="0084149E" w:rsidRPr="00DA27B5" w:rsidRDefault="0084149E" w:rsidP="00646670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(mmHg)</w:t>
            </w:r>
          </w:p>
        </w:tc>
        <w:tc>
          <w:tcPr>
            <w:tcW w:w="1276" w:type="dxa"/>
          </w:tcPr>
          <w:p w:rsidR="0084149E" w:rsidRPr="00DA27B5" w:rsidRDefault="00CA72DC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Hiperactividad</w:t>
            </w:r>
          </w:p>
        </w:tc>
        <w:tc>
          <w:tcPr>
            <w:tcW w:w="1276" w:type="dxa"/>
          </w:tcPr>
          <w:p w:rsidR="0084149E" w:rsidRPr="00DA27B5" w:rsidRDefault="006C112B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Variación</w:t>
            </w:r>
            <w:r w:rsidR="0084149E" w:rsidRPr="00DA27B5">
              <w:rPr>
                <w:rFonts w:cs="Arial"/>
              </w:rPr>
              <w:t xml:space="preserve"> Subjetiva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7/  80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8/250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30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5/150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 xml:space="preserve">  6/250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35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2/150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9/200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22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4/200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 xml:space="preserve">  8/300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40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8/  80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10/220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25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8/100</w:t>
            </w:r>
          </w:p>
        </w:tc>
        <w:tc>
          <w:tcPr>
            <w:tcW w:w="1276" w:type="dxa"/>
          </w:tcPr>
          <w:p w:rsidR="0084149E" w:rsidRPr="00DA27B5" w:rsidRDefault="0084149E" w:rsidP="00665290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10/300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18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+++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4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6/  50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10/250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30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5/120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 xml:space="preserve">  7/200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22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5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7/  80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10/200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37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6/  50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 xml:space="preserve">  8/100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34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6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9/  50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10/150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22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8/100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11/200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16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7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8/100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  <w:szCs w:val="24"/>
              </w:rPr>
            </w:pPr>
            <w:r w:rsidRPr="00DA27B5">
              <w:rPr>
                <w:rFonts w:cs="Arial"/>
                <w:szCs w:val="24"/>
              </w:rPr>
              <w:t>*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18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7/170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13/300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18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5/  50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7/220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25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7/130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 xml:space="preserve">  9/250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25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+++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9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5/  30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8/150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30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6/  50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 xml:space="preserve">  8/250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25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O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+++</w:t>
            </w:r>
          </w:p>
        </w:tc>
      </w:tr>
      <w:tr w:rsidR="00CF3AC1" w:rsidRPr="00DA27B5" w:rsidTr="00CF3AC1">
        <w:tc>
          <w:tcPr>
            <w:tcW w:w="750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8/100</w:t>
            </w:r>
          </w:p>
        </w:tc>
        <w:tc>
          <w:tcPr>
            <w:tcW w:w="116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9/300</w:t>
            </w:r>
          </w:p>
        </w:tc>
        <w:tc>
          <w:tcPr>
            <w:tcW w:w="1083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15</w:t>
            </w:r>
          </w:p>
        </w:tc>
        <w:tc>
          <w:tcPr>
            <w:tcW w:w="848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417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8/100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10/300</w:t>
            </w:r>
          </w:p>
        </w:tc>
        <w:tc>
          <w:tcPr>
            <w:tcW w:w="1134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15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</w:t>
            </w:r>
          </w:p>
        </w:tc>
        <w:tc>
          <w:tcPr>
            <w:tcW w:w="1276" w:type="dxa"/>
          </w:tcPr>
          <w:p w:rsidR="0084149E" w:rsidRPr="00DA27B5" w:rsidRDefault="0084149E" w:rsidP="008A25C9">
            <w:pPr>
              <w:jc w:val="left"/>
              <w:rPr>
                <w:rFonts w:cs="Arial"/>
              </w:rPr>
            </w:pPr>
            <w:r w:rsidRPr="00DA27B5">
              <w:rPr>
                <w:rFonts w:cs="Arial"/>
              </w:rPr>
              <w:t>++</w:t>
            </w:r>
          </w:p>
        </w:tc>
      </w:tr>
    </w:tbl>
    <w:p w:rsidR="00EE7A17" w:rsidRPr="00DA27B5" w:rsidRDefault="00A83172" w:rsidP="00000873">
      <w:pPr>
        <w:jc w:val="left"/>
        <w:rPr>
          <w:rFonts w:cs="Arial"/>
        </w:rPr>
      </w:pPr>
      <w:r w:rsidRPr="00DA27B5">
        <w:rPr>
          <w:rFonts w:cs="Arial"/>
        </w:rPr>
        <w:t>Leyenda</w:t>
      </w:r>
      <w:r w:rsidR="005D7E69" w:rsidRPr="00DA27B5">
        <w:rPr>
          <w:rFonts w:cs="Arial"/>
        </w:rPr>
        <w:t xml:space="preserve">: (A) primer </w:t>
      </w:r>
      <w:r w:rsidRPr="00DA27B5">
        <w:rPr>
          <w:rFonts w:cs="Arial"/>
        </w:rPr>
        <w:t>d</w:t>
      </w:r>
      <w:r w:rsidR="00DD3108" w:rsidRPr="00DA27B5">
        <w:rPr>
          <w:rFonts w:cs="Arial"/>
        </w:rPr>
        <w:t>eseo miccional</w:t>
      </w:r>
      <w:r w:rsidR="005D7E69" w:rsidRPr="00DA27B5">
        <w:rPr>
          <w:rFonts w:cs="Arial"/>
        </w:rPr>
        <w:t xml:space="preserve">, (B) capacidad vesical máxima, </w:t>
      </w:r>
      <w:r w:rsidR="00000873" w:rsidRPr="00DA27B5">
        <w:rPr>
          <w:rFonts w:cs="Arial"/>
        </w:rPr>
        <w:t xml:space="preserve">PUM </w:t>
      </w:r>
      <w:r w:rsidR="005D7E69" w:rsidRPr="00DA27B5">
        <w:rPr>
          <w:rFonts w:cs="Arial"/>
        </w:rPr>
        <w:t xml:space="preserve">– presión uretral máxima en reposo, * </w:t>
      </w:r>
      <w:r w:rsidR="006C112B" w:rsidRPr="00DA27B5">
        <w:rPr>
          <w:rFonts w:cs="Arial"/>
        </w:rPr>
        <w:t>micción espontánea</w:t>
      </w:r>
      <w:r w:rsidR="005D7E69" w:rsidRPr="00DA27B5">
        <w:rPr>
          <w:rFonts w:cs="Arial"/>
        </w:rPr>
        <w:t xml:space="preserve"> en chorro inmediatamente posterior al primer </w:t>
      </w:r>
      <w:r w:rsidR="006C112B" w:rsidRPr="00DA27B5">
        <w:rPr>
          <w:rFonts w:cs="Arial"/>
        </w:rPr>
        <w:t>d</w:t>
      </w:r>
      <w:r w:rsidR="00DD3108" w:rsidRPr="00DA27B5">
        <w:rPr>
          <w:rFonts w:cs="Arial"/>
        </w:rPr>
        <w:t>eseo miccional</w:t>
      </w:r>
      <w:r w:rsidR="005D7E69" w:rsidRPr="00DA27B5">
        <w:rPr>
          <w:rFonts w:cs="Arial"/>
        </w:rPr>
        <w:t xml:space="preserve">, </w:t>
      </w:r>
      <w:r w:rsidR="006C112B" w:rsidRPr="00DA27B5">
        <w:rPr>
          <w:rFonts w:cs="Arial"/>
        </w:rPr>
        <w:t>variación</w:t>
      </w:r>
      <w:r w:rsidR="005D7E69" w:rsidRPr="00DA27B5">
        <w:rPr>
          <w:rFonts w:cs="Arial"/>
        </w:rPr>
        <w:t xml:space="preserve"> subjetiva: + ligera mejoría, ++ ostensible mejoría, +++ asintomática</w:t>
      </w:r>
    </w:p>
    <w:p w:rsidR="00A04E4F" w:rsidRPr="00DA27B5" w:rsidRDefault="00A04E4F" w:rsidP="00333AFE">
      <w:pPr>
        <w:rPr>
          <w:rFonts w:cs="Arial"/>
        </w:rPr>
      </w:pPr>
    </w:p>
    <w:p w:rsidR="00A04E4F" w:rsidRPr="00DA27B5" w:rsidRDefault="00A04E4F" w:rsidP="00333AFE">
      <w:pPr>
        <w:rPr>
          <w:rFonts w:cs="Arial"/>
        </w:rPr>
      </w:pPr>
    </w:p>
    <w:sectPr w:rsidR="00A04E4F" w:rsidRPr="00DA27B5" w:rsidSect="005A46A1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hyphenationZone w:val="425"/>
  <w:characterSpacingControl w:val="doNotCompress"/>
  <w:compat/>
  <w:rsids>
    <w:rsidRoot w:val="00D02015"/>
    <w:rsid w:val="00000873"/>
    <w:rsid w:val="000079C4"/>
    <w:rsid w:val="000120A1"/>
    <w:rsid w:val="00020B94"/>
    <w:rsid w:val="000217A4"/>
    <w:rsid w:val="00022EB2"/>
    <w:rsid w:val="000251C2"/>
    <w:rsid w:val="00026C75"/>
    <w:rsid w:val="000305AB"/>
    <w:rsid w:val="00031140"/>
    <w:rsid w:val="000316ED"/>
    <w:rsid w:val="00042292"/>
    <w:rsid w:val="00043C4A"/>
    <w:rsid w:val="000617DA"/>
    <w:rsid w:val="00064552"/>
    <w:rsid w:val="00071742"/>
    <w:rsid w:val="00074E6C"/>
    <w:rsid w:val="00081D7C"/>
    <w:rsid w:val="00082D2A"/>
    <w:rsid w:val="00086FCF"/>
    <w:rsid w:val="00094E54"/>
    <w:rsid w:val="000B34B0"/>
    <w:rsid w:val="000B401B"/>
    <w:rsid w:val="000B7AD2"/>
    <w:rsid w:val="000C1825"/>
    <w:rsid w:val="000C221B"/>
    <w:rsid w:val="000C4A15"/>
    <w:rsid w:val="000C66FA"/>
    <w:rsid w:val="000D599C"/>
    <w:rsid w:val="000E0BD3"/>
    <w:rsid w:val="000E23EC"/>
    <w:rsid w:val="000E3E34"/>
    <w:rsid w:val="000E6DC2"/>
    <w:rsid w:val="000F21B5"/>
    <w:rsid w:val="001046E5"/>
    <w:rsid w:val="00106963"/>
    <w:rsid w:val="00106974"/>
    <w:rsid w:val="00110261"/>
    <w:rsid w:val="00110A2E"/>
    <w:rsid w:val="0013247D"/>
    <w:rsid w:val="001338B8"/>
    <w:rsid w:val="001347A8"/>
    <w:rsid w:val="00136062"/>
    <w:rsid w:val="00140C04"/>
    <w:rsid w:val="00144021"/>
    <w:rsid w:val="00154A5C"/>
    <w:rsid w:val="001561DD"/>
    <w:rsid w:val="00167958"/>
    <w:rsid w:val="00182158"/>
    <w:rsid w:val="0018562E"/>
    <w:rsid w:val="00185A00"/>
    <w:rsid w:val="00195C88"/>
    <w:rsid w:val="001A1F30"/>
    <w:rsid w:val="001A76E3"/>
    <w:rsid w:val="001B417A"/>
    <w:rsid w:val="001C2FC5"/>
    <w:rsid w:val="001D0DEC"/>
    <w:rsid w:val="001D23E3"/>
    <w:rsid w:val="001D4A5A"/>
    <w:rsid w:val="001D5429"/>
    <w:rsid w:val="001D6D69"/>
    <w:rsid w:val="001E1C0A"/>
    <w:rsid w:val="001E3D30"/>
    <w:rsid w:val="001F2A06"/>
    <w:rsid w:val="001F3C10"/>
    <w:rsid w:val="001F4387"/>
    <w:rsid w:val="002017B8"/>
    <w:rsid w:val="00205252"/>
    <w:rsid w:val="002120B7"/>
    <w:rsid w:val="002164A8"/>
    <w:rsid w:val="00224094"/>
    <w:rsid w:val="002321F2"/>
    <w:rsid w:val="002356B1"/>
    <w:rsid w:val="0024170D"/>
    <w:rsid w:val="00245DB6"/>
    <w:rsid w:val="00250C0B"/>
    <w:rsid w:val="00251EEF"/>
    <w:rsid w:val="00252CFE"/>
    <w:rsid w:val="00254E51"/>
    <w:rsid w:val="002675A9"/>
    <w:rsid w:val="00267BB2"/>
    <w:rsid w:val="0029055E"/>
    <w:rsid w:val="0029724C"/>
    <w:rsid w:val="002A3079"/>
    <w:rsid w:val="002A60E8"/>
    <w:rsid w:val="002A6F5B"/>
    <w:rsid w:val="002B0AB2"/>
    <w:rsid w:val="002B36A8"/>
    <w:rsid w:val="002B7982"/>
    <w:rsid w:val="002C1360"/>
    <w:rsid w:val="002C25CA"/>
    <w:rsid w:val="002C2B27"/>
    <w:rsid w:val="002C467D"/>
    <w:rsid w:val="002C7B49"/>
    <w:rsid w:val="002D3690"/>
    <w:rsid w:val="002D5E5D"/>
    <w:rsid w:val="002D74D0"/>
    <w:rsid w:val="002D7B70"/>
    <w:rsid w:val="002E7167"/>
    <w:rsid w:val="002F4F04"/>
    <w:rsid w:val="002F5A95"/>
    <w:rsid w:val="003166AC"/>
    <w:rsid w:val="00320456"/>
    <w:rsid w:val="00326798"/>
    <w:rsid w:val="003335D1"/>
    <w:rsid w:val="00333AFE"/>
    <w:rsid w:val="00335B5A"/>
    <w:rsid w:val="00336166"/>
    <w:rsid w:val="00342FAA"/>
    <w:rsid w:val="00345304"/>
    <w:rsid w:val="0034636E"/>
    <w:rsid w:val="003470A3"/>
    <w:rsid w:val="003530E9"/>
    <w:rsid w:val="00353577"/>
    <w:rsid w:val="00354648"/>
    <w:rsid w:val="0036268E"/>
    <w:rsid w:val="00364A61"/>
    <w:rsid w:val="00367FEC"/>
    <w:rsid w:val="00373029"/>
    <w:rsid w:val="003768F3"/>
    <w:rsid w:val="00383E22"/>
    <w:rsid w:val="003874D6"/>
    <w:rsid w:val="00392C36"/>
    <w:rsid w:val="003A158F"/>
    <w:rsid w:val="003A25CC"/>
    <w:rsid w:val="003A53AC"/>
    <w:rsid w:val="003B4440"/>
    <w:rsid w:val="003B5B50"/>
    <w:rsid w:val="003B651F"/>
    <w:rsid w:val="003C0ECC"/>
    <w:rsid w:val="003C559E"/>
    <w:rsid w:val="003C6FE9"/>
    <w:rsid w:val="003C7E66"/>
    <w:rsid w:val="003D116C"/>
    <w:rsid w:val="003D2C20"/>
    <w:rsid w:val="003D4260"/>
    <w:rsid w:val="003D52B6"/>
    <w:rsid w:val="003D6142"/>
    <w:rsid w:val="003E3241"/>
    <w:rsid w:val="003F65B0"/>
    <w:rsid w:val="003F7E9F"/>
    <w:rsid w:val="004127B8"/>
    <w:rsid w:val="00414AD8"/>
    <w:rsid w:val="0041645B"/>
    <w:rsid w:val="00424DF5"/>
    <w:rsid w:val="004267B5"/>
    <w:rsid w:val="00435693"/>
    <w:rsid w:val="0043575B"/>
    <w:rsid w:val="00437603"/>
    <w:rsid w:val="0044103A"/>
    <w:rsid w:val="00441C6E"/>
    <w:rsid w:val="0044791F"/>
    <w:rsid w:val="00457645"/>
    <w:rsid w:val="004629BB"/>
    <w:rsid w:val="0046367E"/>
    <w:rsid w:val="00465919"/>
    <w:rsid w:val="004677A7"/>
    <w:rsid w:val="0046799C"/>
    <w:rsid w:val="0047338F"/>
    <w:rsid w:val="00473D33"/>
    <w:rsid w:val="004818C9"/>
    <w:rsid w:val="00485B10"/>
    <w:rsid w:val="004958A2"/>
    <w:rsid w:val="00496759"/>
    <w:rsid w:val="004A6744"/>
    <w:rsid w:val="004A7A3B"/>
    <w:rsid w:val="004B6A06"/>
    <w:rsid w:val="004C2DB1"/>
    <w:rsid w:val="004D1BED"/>
    <w:rsid w:val="004D7976"/>
    <w:rsid w:val="004F47EB"/>
    <w:rsid w:val="004F761F"/>
    <w:rsid w:val="004F7B57"/>
    <w:rsid w:val="0050005C"/>
    <w:rsid w:val="00501FB1"/>
    <w:rsid w:val="0051034C"/>
    <w:rsid w:val="005113A9"/>
    <w:rsid w:val="00512544"/>
    <w:rsid w:val="00521989"/>
    <w:rsid w:val="00525282"/>
    <w:rsid w:val="005266F2"/>
    <w:rsid w:val="0052680B"/>
    <w:rsid w:val="00527978"/>
    <w:rsid w:val="00531D17"/>
    <w:rsid w:val="00532E40"/>
    <w:rsid w:val="00533117"/>
    <w:rsid w:val="00541150"/>
    <w:rsid w:val="005421B5"/>
    <w:rsid w:val="005473B3"/>
    <w:rsid w:val="00551433"/>
    <w:rsid w:val="00555CA2"/>
    <w:rsid w:val="00556280"/>
    <w:rsid w:val="005618C2"/>
    <w:rsid w:val="0056287F"/>
    <w:rsid w:val="005632B1"/>
    <w:rsid w:val="00570219"/>
    <w:rsid w:val="00570D0F"/>
    <w:rsid w:val="00571500"/>
    <w:rsid w:val="00574E2E"/>
    <w:rsid w:val="005818CA"/>
    <w:rsid w:val="005827E9"/>
    <w:rsid w:val="00587BB9"/>
    <w:rsid w:val="00593F7E"/>
    <w:rsid w:val="00594175"/>
    <w:rsid w:val="005941F7"/>
    <w:rsid w:val="005A46A1"/>
    <w:rsid w:val="005A4749"/>
    <w:rsid w:val="005B0893"/>
    <w:rsid w:val="005C65F1"/>
    <w:rsid w:val="005D2E75"/>
    <w:rsid w:val="005D7E69"/>
    <w:rsid w:val="005E6E65"/>
    <w:rsid w:val="005F2486"/>
    <w:rsid w:val="005F2E2A"/>
    <w:rsid w:val="005F4198"/>
    <w:rsid w:val="005F44C7"/>
    <w:rsid w:val="0060445F"/>
    <w:rsid w:val="00604EF7"/>
    <w:rsid w:val="00606347"/>
    <w:rsid w:val="00613456"/>
    <w:rsid w:val="0062239F"/>
    <w:rsid w:val="006252F6"/>
    <w:rsid w:val="00625682"/>
    <w:rsid w:val="00626608"/>
    <w:rsid w:val="006307FC"/>
    <w:rsid w:val="00631346"/>
    <w:rsid w:val="00635104"/>
    <w:rsid w:val="00644F20"/>
    <w:rsid w:val="00646670"/>
    <w:rsid w:val="0064797E"/>
    <w:rsid w:val="00651BCE"/>
    <w:rsid w:val="00652E60"/>
    <w:rsid w:val="00655FBB"/>
    <w:rsid w:val="00665290"/>
    <w:rsid w:val="00667042"/>
    <w:rsid w:val="00667AAE"/>
    <w:rsid w:val="0067019C"/>
    <w:rsid w:val="0067162E"/>
    <w:rsid w:val="00690F64"/>
    <w:rsid w:val="006A2D2A"/>
    <w:rsid w:val="006A2F83"/>
    <w:rsid w:val="006A4F54"/>
    <w:rsid w:val="006B73C2"/>
    <w:rsid w:val="006C112B"/>
    <w:rsid w:val="006C233F"/>
    <w:rsid w:val="006C2C54"/>
    <w:rsid w:val="006C3024"/>
    <w:rsid w:val="006C6F39"/>
    <w:rsid w:val="006C72E7"/>
    <w:rsid w:val="006D017D"/>
    <w:rsid w:val="006D051E"/>
    <w:rsid w:val="006D2F4F"/>
    <w:rsid w:val="006D5929"/>
    <w:rsid w:val="006D712B"/>
    <w:rsid w:val="006E1412"/>
    <w:rsid w:val="006E32B2"/>
    <w:rsid w:val="006F5E54"/>
    <w:rsid w:val="00706E6B"/>
    <w:rsid w:val="00707316"/>
    <w:rsid w:val="0071130A"/>
    <w:rsid w:val="007174F4"/>
    <w:rsid w:val="007238C1"/>
    <w:rsid w:val="00724C98"/>
    <w:rsid w:val="00727E88"/>
    <w:rsid w:val="0073368D"/>
    <w:rsid w:val="0073622C"/>
    <w:rsid w:val="007376EA"/>
    <w:rsid w:val="007410C9"/>
    <w:rsid w:val="00753208"/>
    <w:rsid w:val="00760A7B"/>
    <w:rsid w:val="00762EF1"/>
    <w:rsid w:val="00762F12"/>
    <w:rsid w:val="007630BF"/>
    <w:rsid w:val="0076321E"/>
    <w:rsid w:val="00764ECF"/>
    <w:rsid w:val="00765181"/>
    <w:rsid w:val="007652EA"/>
    <w:rsid w:val="00765DFB"/>
    <w:rsid w:val="007703CE"/>
    <w:rsid w:val="007844A8"/>
    <w:rsid w:val="0079160D"/>
    <w:rsid w:val="007952C3"/>
    <w:rsid w:val="007A0A4B"/>
    <w:rsid w:val="007A1FFE"/>
    <w:rsid w:val="007B03F1"/>
    <w:rsid w:val="007B44FA"/>
    <w:rsid w:val="007B76ED"/>
    <w:rsid w:val="007C38C7"/>
    <w:rsid w:val="007C3D0E"/>
    <w:rsid w:val="007C4CD9"/>
    <w:rsid w:val="007C595F"/>
    <w:rsid w:val="007D5676"/>
    <w:rsid w:val="007E287A"/>
    <w:rsid w:val="007E36E8"/>
    <w:rsid w:val="007E56E2"/>
    <w:rsid w:val="007E5847"/>
    <w:rsid w:val="00805BE3"/>
    <w:rsid w:val="0080763E"/>
    <w:rsid w:val="00807FD5"/>
    <w:rsid w:val="00812F8C"/>
    <w:rsid w:val="008133B5"/>
    <w:rsid w:val="00821184"/>
    <w:rsid w:val="00826C35"/>
    <w:rsid w:val="008305C6"/>
    <w:rsid w:val="0083148B"/>
    <w:rsid w:val="0084149E"/>
    <w:rsid w:val="008530A1"/>
    <w:rsid w:val="00855D2D"/>
    <w:rsid w:val="00862749"/>
    <w:rsid w:val="008647EA"/>
    <w:rsid w:val="00866EBE"/>
    <w:rsid w:val="00867BD8"/>
    <w:rsid w:val="00876BF2"/>
    <w:rsid w:val="00881884"/>
    <w:rsid w:val="008827D8"/>
    <w:rsid w:val="00887A49"/>
    <w:rsid w:val="00887DE3"/>
    <w:rsid w:val="008A19FA"/>
    <w:rsid w:val="008A25C9"/>
    <w:rsid w:val="008A602A"/>
    <w:rsid w:val="008B0CCA"/>
    <w:rsid w:val="008B0EFA"/>
    <w:rsid w:val="008B1A99"/>
    <w:rsid w:val="008B4303"/>
    <w:rsid w:val="008B6647"/>
    <w:rsid w:val="008D1993"/>
    <w:rsid w:val="008D3F99"/>
    <w:rsid w:val="008D652E"/>
    <w:rsid w:val="008F6F3F"/>
    <w:rsid w:val="008F730A"/>
    <w:rsid w:val="0090486C"/>
    <w:rsid w:val="00906D45"/>
    <w:rsid w:val="009119B7"/>
    <w:rsid w:val="00920CDF"/>
    <w:rsid w:val="00934D1C"/>
    <w:rsid w:val="00941EE0"/>
    <w:rsid w:val="009505BF"/>
    <w:rsid w:val="00951CEF"/>
    <w:rsid w:val="00960A76"/>
    <w:rsid w:val="00966EB6"/>
    <w:rsid w:val="00967236"/>
    <w:rsid w:val="00967CE6"/>
    <w:rsid w:val="00973C02"/>
    <w:rsid w:val="00983B8C"/>
    <w:rsid w:val="0099062B"/>
    <w:rsid w:val="009A0369"/>
    <w:rsid w:val="009A1F17"/>
    <w:rsid w:val="009A6C35"/>
    <w:rsid w:val="009B3963"/>
    <w:rsid w:val="009D1186"/>
    <w:rsid w:val="009D5322"/>
    <w:rsid w:val="009D6E21"/>
    <w:rsid w:val="009E37E9"/>
    <w:rsid w:val="00A014AC"/>
    <w:rsid w:val="00A04E4F"/>
    <w:rsid w:val="00A07610"/>
    <w:rsid w:val="00A11EE4"/>
    <w:rsid w:val="00A12FC5"/>
    <w:rsid w:val="00A20CDE"/>
    <w:rsid w:val="00A26124"/>
    <w:rsid w:val="00A31244"/>
    <w:rsid w:val="00A31FA6"/>
    <w:rsid w:val="00A34BB9"/>
    <w:rsid w:val="00A43E69"/>
    <w:rsid w:val="00A47B9F"/>
    <w:rsid w:val="00A52B57"/>
    <w:rsid w:val="00A83172"/>
    <w:rsid w:val="00A85AC3"/>
    <w:rsid w:val="00A91269"/>
    <w:rsid w:val="00AA50E1"/>
    <w:rsid w:val="00AA547E"/>
    <w:rsid w:val="00AB4346"/>
    <w:rsid w:val="00AB7AB2"/>
    <w:rsid w:val="00AC1506"/>
    <w:rsid w:val="00AC4450"/>
    <w:rsid w:val="00AC4ECE"/>
    <w:rsid w:val="00AC586C"/>
    <w:rsid w:val="00AD04ED"/>
    <w:rsid w:val="00AD3C4D"/>
    <w:rsid w:val="00AD6182"/>
    <w:rsid w:val="00AE6BDB"/>
    <w:rsid w:val="00AE6D4A"/>
    <w:rsid w:val="00B005A8"/>
    <w:rsid w:val="00B00BC5"/>
    <w:rsid w:val="00B03DBB"/>
    <w:rsid w:val="00B0599C"/>
    <w:rsid w:val="00B11ED6"/>
    <w:rsid w:val="00B22323"/>
    <w:rsid w:val="00B23E72"/>
    <w:rsid w:val="00B2658C"/>
    <w:rsid w:val="00B308C5"/>
    <w:rsid w:val="00B32823"/>
    <w:rsid w:val="00B3435B"/>
    <w:rsid w:val="00B348E7"/>
    <w:rsid w:val="00B43ED0"/>
    <w:rsid w:val="00B46B63"/>
    <w:rsid w:val="00B533E8"/>
    <w:rsid w:val="00B57EE5"/>
    <w:rsid w:val="00B64CDC"/>
    <w:rsid w:val="00B6793C"/>
    <w:rsid w:val="00B72EB7"/>
    <w:rsid w:val="00B74FD2"/>
    <w:rsid w:val="00B76E69"/>
    <w:rsid w:val="00B77BC7"/>
    <w:rsid w:val="00B8556F"/>
    <w:rsid w:val="00B92996"/>
    <w:rsid w:val="00B95FAC"/>
    <w:rsid w:val="00B96F99"/>
    <w:rsid w:val="00B97B6A"/>
    <w:rsid w:val="00BA17C4"/>
    <w:rsid w:val="00BB02A7"/>
    <w:rsid w:val="00BB4BDD"/>
    <w:rsid w:val="00BC0181"/>
    <w:rsid w:val="00BC2246"/>
    <w:rsid w:val="00BC3CCF"/>
    <w:rsid w:val="00BC4AAC"/>
    <w:rsid w:val="00BC7E95"/>
    <w:rsid w:val="00BD0B85"/>
    <w:rsid w:val="00BD189A"/>
    <w:rsid w:val="00BE7A23"/>
    <w:rsid w:val="00BF2D05"/>
    <w:rsid w:val="00BF3576"/>
    <w:rsid w:val="00BF741A"/>
    <w:rsid w:val="00C04183"/>
    <w:rsid w:val="00C13D6F"/>
    <w:rsid w:val="00C17848"/>
    <w:rsid w:val="00C22336"/>
    <w:rsid w:val="00C26992"/>
    <w:rsid w:val="00C353E5"/>
    <w:rsid w:val="00C37E12"/>
    <w:rsid w:val="00C40136"/>
    <w:rsid w:val="00C4318E"/>
    <w:rsid w:val="00C5299C"/>
    <w:rsid w:val="00C53066"/>
    <w:rsid w:val="00C54A4F"/>
    <w:rsid w:val="00C57335"/>
    <w:rsid w:val="00C610F1"/>
    <w:rsid w:val="00C67EED"/>
    <w:rsid w:val="00C70E56"/>
    <w:rsid w:val="00C81B59"/>
    <w:rsid w:val="00C87B5D"/>
    <w:rsid w:val="00C944ED"/>
    <w:rsid w:val="00CA5744"/>
    <w:rsid w:val="00CA72DC"/>
    <w:rsid w:val="00CC30AA"/>
    <w:rsid w:val="00CC5953"/>
    <w:rsid w:val="00CD0D81"/>
    <w:rsid w:val="00CD1DC5"/>
    <w:rsid w:val="00CD2B13"/>
    <w:rsid w:val="00CD614A"/>
    <w:rsid w:val="00CE0610"/>
    <w:rsid w:val="00CE5F7A"/>
    <w:rsid w:val="00CF086F"/>
    <w:rsid w:val="00CF3AC1"/>
    <w:rsid w:val="00CF4B2F"/>
    <w:rsid w:val="00D02015"/>
    <w:rsid w:val="00D06F8E"/>
    <w:rsid w:val="00D1167F"/>
    <w:rsid w:val="00D153D9"/>
    <w:rsid w:val="00D16E85"/>
    <w:rsid w:val="00D20B4D"/>
    <w:rsid w:val="00D24EBC"/>
    <w:rsid w:val="00D2661D"/>
    <w:rsid w:val="00D2760A"/>
    <w:rsid w:val="00D31A23"/>
    <w:rsid w:val="00D343A4"/>
    <w:rsid w:val="00D34551"/>
    <w:rsid w:val="00D56270"/>
    <w:rsid w:val="00D6207F"/>
    <w:rsid w:val="00D6271C"/>
    <w:rsid w:val="00D65BD6"/>
    <w:rsid w:val="00D66B53"/>
    <w:rsid w:val="00D7664E"/>
    <w:rsid w:val="00D9234C"/>
    <w:rsid w:val="00DA00E9"/>
    <w:rsid w:val="00DA27B5"/>
    <w:rsid w:val="00DA4C99"/>
    <w:rsid w:val="00DA656A"/>
    <w:rsid w:val="00DB1990"/>
    <w:rsid w:val="00DB40EC"/>
    <w:rsid w:val="00DB4D34"/>
    <w:rsid w:val="00DC0F05"/>
    <w:rsid w:val="00DC41B1"/>
    <w:rsid w:val="00DC758A"/>
    <w:rsid w:val="00DD2EEC"/>
    <w:rsid w:val="00DD3108"/>
    <w:rsid w:val="00DD44B7"/>
    <w:rsid w:val="00DE5052"/>
    <w:rsid w:val="00E01F2C"/>
    <w:rsid w:val="00E067CE"/>
    <w:rsid w:val="00E11AD0"/>
    <w:rsid w:val="00E13C48"/>
    <w:rsid w:val="00E21A1D"/>
    <w:rsid w:val="00E25B74"/>
    <w:rsid w:val="00E325B8"/>
    <w:rsid w:val="00E34629"/>
    <w:rsid w:val="00E34638"/>
    <w:rsid w:val="00E35F83"/>
    <w:rsid w:val="00E40262"/>
    <w:rsid w:val="00E40558"/>
    <w:rsid w:val="00E45DB8"/>
    <w:rsid w:val="00E460C3"/>
    <w:rsid w:val="00E521C4"/>
    <w:rsid w:val="00E525AF"/>
    <w:rsid w:val="00E563EF"/>
    <w:rsid w:val="00E600CC"/>
    <w:rsid w:val="00E62AB1"/>
    <w:rsid w:val="00E634A2"/>
    <w:rsid w:val="00E64CD1"/>
    <w:rsid w:val="00E66D1F"/>
    <w:rsid w:val="00E76C3C"/>
    <w:rsid w:val="00E76CA0"/>
    <w:rsid w:val="00E7796D"/>
    <w:rsid w:val="00E82EEA"/>
    <w:rsid w:val="00E83CA6"/>
    <w:rsid w:val="00E8647E"/>
    <w:rsid w:val="00E8778F"/>
    <w:rsid w:val="00E93822"/>
    <w:rsid w:val="00E95466"/>
    <w:rsid w:val="00EA33F8"/>
    <w:rsid w:val="00EA37EA"/>
    <w:rsid w:val="00EA5C7B"/>
    <w:rsid w:val="00EA70CB"/>
    <w:rsid w:val="00EB1843"/>
    <w:rsid w:val="00ED7732"/>
    <w:rsid w:val="00EE2C2C"/>
    <w:rsid w:val="00EE512E"/>
    <w:rsid w:val="00EE7A17"/>
    <w:rsid w:val="00F052D6"/>
    <w:rsid w:val="00F144E0"/>
    <w:rsid w:val="00F164EA"/>
    <w:rsid w:val="00F20B9F"/>
    <w:rsid w:val="00F20D7B"/>
    <w:rsid w:val="00F25083"/>
    <w:rsid w:val="00F272BD"/>
    <w:rsid w:val="00F358FC"/>
    <w:rsid w:val="00F41C61"/>
    <w:rsid w:val="00F4508C"/>
    <w:rsid w:val="00F52210"/>
    <w:rsid w:val="00F54BA4"/>
    <w:rsid w:val="00F56D14"/>
    <w:rsid w:val="00F6435F"/>
    <w:rsid w:val="00F74940"/>
    <w:rsid w:val="00F83EF0"/>
    <w:rsid w:val="00F84473"/>
    <w:rsid w:val="00F87C9D"/>
    <w:rsid w:val="00F961D1"/>
    <w:rsid w:val="00FA0166"/>
    <w:rsid w:val="00FA44C8"/>
    <w:rsid w:val="00FA6186"/>
    <w:rsid w:val="00FB1ED4"/>
    <w:rsid w:val="00FB2F0A"/>
    <w:rsid w:val="00FC119D"/>
    <w:rsid w:val="00FC1952"/>
    <w:rsid w:val="00FD1CC7"/>
    <w:rsid w:val="00FD283B"/>
    <w:rsid w:val="00FD2CC3"/>
    <w:rsid w:val="00FD69F1"/>
    <w:rsid w:val="00FD786C"/>
    <w:rsid w:val="00FE1676"/>
    <w:rsid w:val="00FE47F0"/>
    <w:rsid w:val="00FF00F8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7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14353</TotalTime>
  <Pages>4</Pages>
  <Words>1893</Words>
  <Characters>10113</Characters>
  <Application>Microsoft Office Word</Application>
  <DocSecurity>0</DocSecurity>
  <Lines>404</Lines>
  <Paragraphs>300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519</cp:revision>
  <dcterms:created xsi:type="dcterms:W3CDTF">2016-04-19T09:03:00Z</dcterms:created>
  <dcterms:modified xsi:type="dcterms:W3CDTF">2016-05-02T16:41:00Z</dcterms:modified>
</cp:coreProperties>
</file>